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4e45f" w14:textId="c24e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2 июня 2017 года № 11-5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18 февраля 2020 года № 36-5. Зарегистрировано Департаментом юстиции Северо-Казахстанской области 27 февраля 2020 года № 6049. Утратило силу решением маслихата района Магжана Жумабаева Северо-Казахстанской области от 3 июля 2021 года № 6-20</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03.07.2021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 июня 2017 года № 11-5 (опубликовано 30 июня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4233)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сессии маслихата </w:t>
            </w:r>
            <w:r>
              <w:br/>
            </w: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Исполняющий обязанности акима</w:t>
      </w:r>
    </w:p>
    <w:bookmarkEnd w:id="4"/>
    <w:bookmarkStart w:name="z12" w:id="5"/>
    <w:p>
      <w:pPr>
        <w:spacing w:after="0"/>
        <w:ind w:left="0"/>
        <w:jc w:val="both"/>
      </w:pPr>
      <w:r>
        <w:rPr>
          <w:rFonts w:ascii="Times New Roman"/>
          <w:b w:val="false"/>
          <w:i w:val="false"/>
          <w:color w:val="000000"/>
          <w:sz w:val="28"/>
        </w:rPr>
        <w:t>
      Северо-Казахстанской области</w:t>
      </w:r>
    </w:p>
    <w:bookmarkEnd w:id="5"/>
    <w:bookmarkStart w:name="z13" w:id="6"/>
    <w:p>
      <w:pPr>
        <w:spacing w:after="0"/>
        <w:ind w:left="0"/>
        <w:jc w:val="both"/>
      </w:pPr>
      <w:r>
        <w:rPr>
          <w:rFonts w:ascii="Times New Roman"/>
          <w:b w:val="false"/>
          <w:i w:val="false"/>
          <w:color w:val="000000"/>
          <w:sz w:val="28"/>
        </w:rPr>
        <w:t>
      _____________М. Тасмаганбетов</w:t>
      </w:r>
    </w:p>
    <w:bookmarkEnd w:id="6"/>
    <w:bookmarkStart w:name="z14" w:id="7"/>
    <w:p>
      <w:pPr>
        <w:spacing w:after="0"/>
        <w:ind w:left="0"/>
        <w:jc w:val="both"/>
      </w:pPr>
      <w:r>
        <w:rPr>
          <w:rFonts w:ascii="Times New Roman"/>
          <w:b w:val="false"/>
          <w:i w:val="false"/>
          <w:color w:val="000000"/>
          <w:sz w:val="28"/>
        </w:rPr>
        <w:t>
      "__" __________ 2020 года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 района Магжана Жумабаева Северо-Казахстанской области от 18 февраля 2020 года № 36-5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Магжана Жумабаева Северо-Казахстанскойобласти от 2 июня 2017 года № 11-5</w:t>
            </w:r>
          </w:p>
        </w:tc>
      </w:tr>
    </w:tbl>
    <w:bookmarkStart w:name="z17" w:id="8"/>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98"/>
        <w:gridCol w:w="232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получателей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100 (сто) месячных расчетных показателей, за исключением 9 мая 2020 года;</w:t>
            </w:r>
            <w:r>
              <w:br/>
            </w:r>
            <w:r>
              <w:rPr>
                <w:rFonts w:ascii="Times New Roman"/>
                <w:b w:val="false"/>
                <w:i w:val="false"/>
                <w:color w:val="000000"/>
                <w:sz w:val="20"/>
              </w:rPr>
              <w:t>
300 000 (триста) тысяч тенге к 9 мая 2020 года</w:t>
            </w:r>
          </w:p>
          <w:bookmarkEnd w:id="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100 000 (сто) тысяч тенге к 9 мая 2020 года</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60 000 (шестьдесят) тысяч тенге к 9 мая 2020 года</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5 (пять) месячных расчетных показателей, за исключением 9 мая 2020 года;</w:t>
            </w:r>
            <w:r>
              <w:br/>
            </w:r>
            <w:r>
              <w:rPr>
                <w:rFonts w:ascii="Times New Roman"/>
                <w:b w:val="false"/>
                <w:i w:val="false"/>
                <w:color w:val="000000"/>
                <w:sz w:val="20"/>
              </w:rPr>
              <w:t>
30 000 (тридцать) тысяч тенге к 9 мая 2020 года</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22"/>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