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17d4" w14:textId="f181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45/277. Зарегистрировано Департаментом юстиции Северо-Казахстанской области 16 января 2020 года № 5972.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4 320,3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17 888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22 221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8 848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8 848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- 8 848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8 848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8 848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49/316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Николаевского сельского округа в сумме 10 974 тысяч тенге.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Николаевского сельского округа объемы целевых текущих трансфертов выделенных из районного бюджета в общем объеме 275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Николаевского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спортивно-игровой площадки в селе Николаевка.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49/316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 бюджете Николаевского сельского округа на 2020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Николаевка Николаевского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Каратал Николаевского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45/277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2020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49/316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22 221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45/277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