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f5af" w14:textId="acbf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16 августа 2016 года № 52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Камыстинского района Костанайской области от 8 апреля 2020 года № 317. Зарегистрировано Департаментом юстиции Костанайской области 9 апреля 2020 года № 9098. Утратило силу решением маслихата Камыстинского района Костанайской области от 2 сентября 2020 года № 352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Камыстинского района Костанайской области от 02.09.2020 </w:t>
      </w:r>
      <w:r>
        <w:rPr>
          <w:rFonts w:ascii="Times New Roman"/>
          <w:b w:val="false"/>
          <w:i w:val="false"/>
          <w:color w:val="ff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Камыстинский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16 августа 2016 года </w:t>
      </w:r>
      <w:r>
        <w:rPr>
          <w:rFonts w:ascii="Times New Roman"/>
          <w:b w:val="false"/>
          <w:i w:val="false"/>
          <w:color w:val="000000"/>
          <w:sz w:val="28"/>
        </w:rPr>
        <w:t>№ 52</w:t>
      </w:r>
      <w:r>
        <w:rPr>
          <w:rFonts w:ascii="Times New Roman"/>
          <w:b w:val="false"/>
          <w:i w:val="false"/>
          <w:color w:val="000000"/>
          <w:sz w:val="28"/>
        </w:rPr>
        <w:t xml:space="preserve"> (опубликовано 13 сентября 2016 года в информационно-правовой системе "Әділет", зарегистрировано в Реестре государственной регистрации нормативных правовых актов за № 6607)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4"/>
    <w:bookmarkStart w:name="z9" w:id="5"/>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5"/>
    <w:bookmarkStart w:name="z10" w:id="6"/>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Костанайской области;";</w:t>
      </w:r>
    </w:p>
    <w:bookmarkEnd w:id="6"/>
    <w:bookmarkStart w:name="z11" w:id="7"/>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7"/>
    <w:bookmarkStart w:name="z12" w:id="8"/>
    <w:p>
      <w:pPr>
        <w:spacing w:after="0"/>
        <w:ind w:left="0"/>
        <w:jc w:val="both"/>
      </w:pP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8"/>
    <w:bookmarkStart w:name="z13" w:id="9"/>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9"/>
    <w:bookmarkStart w:name="z14" w:id="10"/>
    <w:p>
      <w:pPr>
        <w:spacing w:after="0"/>
        <w:ind w:left="0"/>
        <w:jc w:val="both"/>
      </w:pPr>
      <w:r>
        <w:rPr>
          <w:rFonts w:ascii="Times New Roman"/>
          <w:b w:val="false"/>
          <w:i w:val="false"/>
          <w:color w:val="000000"/>
          <w:sz w:val="28"/>
        </w:rPr>
        <w:t>
      "10)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6" w:id="11"/>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8" w:id="12"/>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12"/>
    <w:bookmarkStart w:name="z19" w:id="13"/>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13"/>
    <w:bookmarkStart w:name="z20" w:id="14"/>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14"/>
    <w:bookmarkStart w:name="z21" w:id="15"/>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15"/>
    <w:bookmarkStart w:name="z22" w:id="16"/>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16"/>
    <w:bookmarkStart w:name="z23" w:id="17"/>
    <w:p>
      <w:pPr>
        <w:spacing w:after="0"/>
        <w:ind w:left="0"/>
        <w:jc w:val="both"/>
      </w:pPr>
      <w:r>
        <w:rPr>
          <w:rFonts w:ascii="Times New Roman"/>
          <w:b w:val="false"/>
          <w:i w:val="false"/>
          <w:color w:val="000000"/>
          <w:sz w:val="28"/>
        </w:rPr>
        <w:t>
      молодежи, относящейся к социально уязвимым слоям населения и продолжающей обучение за счет средств местного бюджета, без учета доходов;</w:t>
      </w:r>
    </w:p>
    <w:bookmarkEnd w:id="17"/>
    <w:bookmarkStart w:name="z24" w:id="18"/>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18"/>
    <w:bookmarkStart w:name="z25" w:id="19"/>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19"/>
    <w:bookmarkStart w:name="z26" w:id="20"/>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20"/>
    <w:bookmarkStart w:name="z27" w:id="21"/>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1000000 (один миллион) тенге;";</w:t>
      </w:r>
    </w:p>
    <w:bookmarkEnd w:id="21"/>
    <w:bookmarkStart w:name="z28" w:id="22"/>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22"/>
    <w:bookmarkStart w:name="z29" w:id="23"/>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23"/>
    <w:bookmarkStart w:name="z30" w:id="2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4"/>
    <w:bookmarkStart w:name="z31" w:id="25"/>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5"/>
    <w:bookmarkStart w:name="z32" w:id="26"/>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6"/>
    <w:bookmarkStart w:name="z33" w:id="27"/>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7"/>
    <w:bookmarkStart w:name="z34" w:id="28"/>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8"/>
    <w:bookmarkStart w:name="z35" w:id="29"/>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29"/>
    <w:bookmarkStart w:name="z36" w:id="3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0"/>
    <w:bookmarkStart w:name="z37" w:id="31"/>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1"/>
    <w:bookmarkStart w:name="z38" w:id="3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32"/>
    <w:bookmarkStart w:name="z39" w:id="3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3"/>
    <w:bookmarkStart w:name="z40" w:id="34"/>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34"/>
    <w:bookmarkStart w:name="z41" w:id="35"/>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35"/>
    <w:bookmarkStart w:name="z42" w:id="36"/>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36"/>
    <w:bookmarkStart w:name="z43" w:id="37"/>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45" w:id="38"/>
    <w:p>
      <w:pPr>
        <w:spacing w:after="0"/>
        <w:ind w:left="0"/>
        <w:jc w:val="both"/>
      </w:pPr>
      <w:r>
        <w:rPr>
          <w:rFonts w:ascii="Times New Roman"/>
          <w:b w:val="false"/>
          <w:i w:val="false"/>
          <w:color w:val="000000"/>
          <w:sz w:val="28"/>
        </w:rPr>
        <w:t>
      "13. 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38"/>
    <w:bookmarkStart w:name="z46" w:id="39"/>
    <w:p>
      <w:pPr>
        <w:spacing w:after="0"/>
        <w:ind w:left="0"/>
        <w:jc w:val="both"/>
      </w:pPr>
      <w:r>
        <w:rPr>
          <w:rFonts w:ascii="Times New Roman"/>
          <w:b w:val="false"/>
          <w:i w:val="false"/>
          <w:color w:val="000000"/>
          <w:sz w:val="28"/>
        </w:rPr>
        <w:t>
      1) документ, удостоверяющий личность;</w:t>
      </w:r>
    </w:p>
    <w:bookmarkEnd w:id="39"/>
    <w:bookmarkStart w:name="z47" w:id="40"/>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49" w:id="41"/>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p>
    <w:bookmarkEnd w:id="41"/>
    <w:bookmarkStart w:name="z50" w:id="42"/>
    <w:p>
      <w:pPr>
        <w:spacing w:after="0"/>
        <w:ind w:left="0"/>
        <w:jc w:val="both"/>
      </w:pPr>
      <w:r>
        <w:rPr>
          <w:rFonts w:ascii="Times New Roman"/>
          <w:b w:val="false"/>
          <w:i w:val="false"/>
          <w:color w:val="000000"/>
          <w:sz w:val="28"/>
        </w:rPr>
        <w:t>
      1) документ, удостоверяющий личность;</w:t>
      </w:r>
    </w:p>
    <w:bookmarkEnd w:id="42"/>
    <w:bookmarkStart w:name="z51" w:id="43"/>
    <w:p>
      <w:pPr>
        <w:spacing w:after="0"/>
        <w:ind w:left="0"/>
        <w:jc w:val="both"/>
      </w:pPr>
      <w:r>
        <w:rPr>
          <w:rFonts w:ascii="Times New Roman"/>
          <w:b w:val="false"/>
          <w:i w:val="false"/>
          <w:color w:val="000000"/>
          <w:sz w:val="28"/>
        </w:rPr>
        <w:t>
      2) сведения о составе лица (семьи) согласно приложению 1 к Типовым правилам;</w:t>
      </w:r>
    </w:p>
    <w:bookmarkEnd w:id="43"/>
    <w:bookmarkStart w:name="z52" w:id="44"/>
    <w:p>
      <w:pPr>
        <w:spacing w:after="0"/>
        <w:ind w:left="0"/>
        <w:jc w:val="both"/>
      </w:pPr>
      <w:r>
        <w:rPr>
          <w:rFonts w:ascii="Times New Roman"/>
          <w:b w:val="false"/>
          <w:i w:val="false"/>
          <w:color w:val="000000"/>
          <w:sz w:val="28"/>
        </w:rPr>
        <w:t>
      3) сведения о доходах лица (членов семьи), указанных в абзаце втором подпункта 3) пункта 6, подпунктах 5), 6) пункта 7 настоящих Правил;</w:t>
      </w:r>
    </w:p>
    <w:bookmarkEnd w:id="44"/>
    <w:bookmarkStart w:name="z53" w:id="45"/>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bookmarkEnd w:id="45"/>
    <w:bookmarkStart w:name="z54" w:id="4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Камыстинского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