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5a4b" w14:textId="ed45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 октября 2020 года № 48/355. Зарегистрировано Департаментом юстиции Мангистауской области 8 октября 2020 года № 4306.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15 января 2014 года в информационно -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РЕШИЛ:";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9 мая – День Победы: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100 (сто) месячных расчетных показателей;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инвалидам Великой Отечественной войны (кроме лиц, ставших инвалидами вследствие ликвидации аварии на Чернобыльской атомной электро станции) – в размере 60 (шестьдесят)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участникам Великой Отечественной войны (кроме участников ликвидации аварии на Чернобыльской атомной электро станции в 1986–1987 годах) – в размере 50 (пятьдесят) месячных расчетных показателей;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– в размере 40 (сорок)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40 (сорок) месячных расчетных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службы, службы в мирное время – в размере 40 (сорок)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(супруг) умершего инвалида Великой Отечественной войны или лица, приравненного по льготам к инвалидам Великой Отечественной войны, а также супругам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40 (сорок) месячных расчетных показателей;".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