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ff47" w14:textId="9a7f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Актауского городского маслихата от 21 октября 2016 года № 5/58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19 июня 2020 года № 32/375. Зарегистрировано Департаментом юстиции Мангистауской области 2 июля 2020 года № 4249. Утратило силу-решением Актауского городского маслихата Мангистауской области от 16 апреля 2021 года № 2/18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26 мая 2020 года № 05-10-948 и информационного письма от 27 мая 2020 года № 05-10-966 Актауский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 (зарегистрировано в Реестре государственной регистрации нормативных правовых актов за № 3190, опубликовано 6 декабря 2016 года в информационно-правовой системе "Әділет")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Актау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социальной помощи, установления размеров и определения перечня отдельных категорий нуждающихся граждан города Актау (далее - Правила) разработаны в соответствии с Законами Республики Казахстан от 18 декабpя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гpаждан, постpадавших вследствие ядеpных испытаний на Семипалатинском испытательном ядеpном полигоне</w:t>
      </w:r>
      <w:r>
        <w:rPr>
          <w:rFonts w:ascii="Times New Roman"/>
          <w:b w:val="false"/>
          <w:i w:val="false"/>
          <w:color w:val="000000"/>
          <w:sz w:val="28"/>
        </w:rPr>
        <w:t>", от 14 апреля 1993 года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 массовых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№ 11745).";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9) пункта 3 на казахском языке внесены изменения, текст на русском языке не изменяется;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10 на казахском языке внесены изменения, текст на русском языке не изменяется;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Социальная помощь детям, заразившимся вирусом иммунодефицита человека, предоставляется на лечение и дополнительное питание по заявлению, без учета доходов, в размере не менее 2 (двух) прожиточных минимумов по Республике Казахстан, ежемесячно.";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9 исключить;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 следующего содержания: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3301"/>
        <w:gridCol w:w="6242"/>
        <w:gridCol w:w="614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детям, заразившимся вирусом иммунодефицита человека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не менее 2 (двух) прожиточных минимумов по Республике Казахстан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 Телегенова) обеспечить государственную регистрацию настоящего решения в органах юстиции.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