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5b7" w14:textId="b606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мая 2020 года № 36/437. Зарегистрировано Департаментом юстиции Мангистауской области 2 июня 2020 года № 4225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36/437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Мангистауского областного маслихата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29/334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охранных зонах, зонах регулирования застройки и зонах охраняемого природного ландшафта памятников истории и культуры" (зарегистрировано в Реестре государственной регистрации нормативных правовых актов за № 2094, опубликовано 20 января 2011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охранных зон, зон регулирования застройки и зон охраняемого природного ландшафта памятников истории и культуры" (зарегистрировано в Реестре государственной регистрации нормативных правовых актов за № 2591, опубликовано в газете "Огни Мангистау" от 31 января 2015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областного маслихата от 24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охранных зон, зон регулирования застройки и зон охраняемого природного ландшафта объектов историко-культурного наследия" (зарегистрировано в Реестре государственной регистрации нормативных правовых актов за № 3074, опубликовано 8 июля 2016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19/230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охранных зон, зон регулирования застройки и зон охраняемого природного ландшафта объектов историко-культурного наследия" (зарегистрировано в Реестре государственной регистрации нормативных правовых актов за № 3655, опубликовано 25 июня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