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dd8f" w14:textId="ca1d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Приозерск на 2020 год</w:t>
      </w:r>
    </w:p>
    <w:p>
      <w:pPr>
        <w:spacing w:after="0"/>
        <w:ind w:left="0"/>
        <w:jc w:val="both"/>
      </w:pPr>
      <w:r>
        <w:rPr>
          <w:rFonts w:ascii="Times New Roman"/>
          <w:b w:val="false"/>
          <w:i w:val="false"/>
          <w:color w:val="000000"/>
          <w:sz w:val="28"/>
        </w:rPr>
        <w:t>Постановление акимата города Приозерск Карагандинской области от 21 февраля 2020 года № 10/46. Зарегистрировано Департаментом юстиции Карагандинской области 26 февраля 2020 года № 5711</w:t>
      </w:r>
    </w:p>
    <w:p>
      <w:pPr>
        <w:spacing w:after="0"/>
        <w:ind w:left="0"/>
        <w:jc w:val="both"/>
      </w:pPr>
      <w:bookmarkStart w:name="z4"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Приозерск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в городе Приозерск, в размере 2% от общей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2%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2% от общей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Приозерск Казиеву Б.А.</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Приозерск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w:t>
            </w:r>
          </w:p>
        </w:tc>
      </w:tr>
    </w:tbl>
    <w:bookmarkStart w:name="z13" w:id="7"/>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2694"/>
        <w:gridCol w:w="1882"/>
        <w:gridCol w:w="3373"/>
        <w:gridCol w:w="3210"/>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для лиц, состоящих на учете службы пробации</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больница города Приозерск" Коммунальное государственное предприятие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постановлению</w:t>
            </w:r>
          </w:p>
        </w:tc>
      </w:tr>
    </w:tbl>
    <w:bookmarkStart w:name="z15" w:id="8"/>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2703"/>
        <w:gridCol w:w="1833"/>
        <w:gridCol w:w="3284"/>
        <w:gridCol w:w="3369"/>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для трудоустройства лиц, освобожденных из мест лишения свободы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жилищно-коммунального реформирования" Коммунальное государственное предприятие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 xml:space="preserve">постановлению </w:t>
            </w:r>
          </w:p>
        </w:tc>
      </w:tr>
    </w:tbl>
    <w:bookmarkStart w:name="z17" w:id="9"/>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202"/>
        <w:gridCol w:w="1087"/>
        <w:gridCol w:w="2647"/>
        <w:gridCol w:w="4469"/>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для граждан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"Балақай" города Приозерск" Коммунальное государственное казенное предприятие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