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9fe4" w14:textId="d569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на территории земель Нуринского района на 2020-2021 годы</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28 февраля 2020 года № 429. Зарегистрировано Департаментом юстиции Карагандинской области 11 марта 2020 года № 5743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на территории земель Нуринского района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21 сессии Нуринского районного маслихата от 07 февраля 2018 года №217 "Об утверждении Плана по управлению пастбищами и их использованию на территории земель Нуринского района на 2018-2019 года" (зарегистрировано в Реестре государственной регистрации нормативных правовых актов за №4622, опубликовано в Эталонном контрольном банке нормативных правовых актов Республики Казахстан в электронном виде 07 марта 2018 года, в газете "Нұра" от 03 марта 2018 года №9 (5557)).</w:t>
      </w:r>
    </w:p>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законности и правам граждан (Таттыбаев Эксан Балтабаевич).</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Нуринского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28 февраля 2020 года</w:t>
            </w:r>
            <w:r>
              <w:br/>
            </w:r>
            <w:r>
              <w:rPr>
                <w:rFonts w:ascii="Times New Roman"/>
                <w:b w:val="false"/>
                <w:i w:val="false"/>
                <w:color w:val="000000"/>
                <w:sz w:val="20"/>
              </w:rPr>
              <w:t>№ 429</w:t>
            </w:r>
          </w:p>
        </w:tc>
      </w:tr>
    </w:tbl>
    <w:bookmarkStart w:name="z13" w:id="5"/>
    <w:p>
      <w:pPr>
        <w:spacing w:after="0"/>
        <w:ind w:left="0"/>
        <w:jc w:val="left"/>
      </w:pPr>
      <w:r>
        <w:rPr>
          <w:rFonts w:ascii="Times New Roman"/>
          <w:b/>
          <w:i w:val="false"/>
          <w:color w:val="000000"/>
        </w:rPr>
        <w:t xml:space="preserve"> План по управлению пастбищами и их использованию по Нуринскому району на 2020-2021 годы</w:t>
      </w:r>
    </w:p>
    <w:bookmarkEnd w:id="5"/>
    <w:bookmarkStart w:name="z14"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5" w:id="7"/>
    <w:p>
      <w:pPr>
        <w:spacing w:after="0"/>
        <w:ind w:left="0"/>
        <w:jc w:val="both"/>
      </w:pPr>
      <w:r>
        <w:rPr>
          <w:rFonts w:ascii="Times New Roman"/>
          <w:b w:val="false"/>
          <w:i w:val="false"/>
          <w:color w:val="000000"/>
          <w:sz w:val="28"/>
        </w:rPr>
        <w:t>
      План содержит:</w:t>
      </w:r>
    </w:p>
    <w:bookmarkEnd w:id="7"/>
    <w:bookmarkStart w:name="z16" w:id="8"/>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к настоящему Плану;</w:t>
      </w:r>
    </w:p>
    <w:bookmarkEnd w:id="8"/>
    <w:bookmarkStart w:name="z17" w:id="9"/>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приложениям 26</w:t>
      </w:r>
      <w:r>
        <w:rPr>
          <w:rFonts w:ascii="Times New Roman"/>
          <w:b w:val="false"/>
          <w:i w:val="false"/>
          <w:color w:val="000000"/>
          <w:sz w:val="28"/>
        </w:rPr>
        <w:t xml:space="preserve"> - </w:t>
      </w:r>
      <w:r>
        <w:rPr>
          <w:rFonts w:ascii="Times New Roman"/>
          <w:b w:val="false"/>
          <w:i w:val="false"/>
          <w:color w:val="000000"/>
          <w:sz w:val="28"/>
        </w:rPr>
        <w:t>50</w:t>
      </w:r>
      <w:r>
        <w:rPr>
          <w:rFonts w:ascii="Times New Roman"/>
          <w:b w:val="false"/>
          <w:i w:val="false"/>
          <w:color w:val="000000"/>
          <w:sz w:val="28"/>
        </w:rPr>
        <w:t xml:space="preserve"> к настоящему Плану;</w:t>
      </w:r>
    </w:p>
    <w:bookmarkEnd w:id="9"/>
    <w:bookmarkStart w:name="z18" w:id="10"/>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51</w:t>
      </w:r>
      <w:r>
        <w:rPr>
          <w:rFonts w:ascii="Times New Roman"/>
          <w:b w:val="false"/>
          <w:i w:val="false"/>
          <w:color w:val="000000"/>
          <w:sz w:val="28"/>
        </w:rPr>
        <w:t xml:space="preserve"> - </w:t>
      </w:r>
      <w:r>
        <w:rPr>
          <w:rFonts w:ascii="Times New Roman"/>
          <w:b w:val="false"/>
          <w:i w:val="false"/>
          <w:color w:val="000000"/>
          <w:sz w:val="28"/>
        </w:rPr>
        <w:t>75</w:t>
      </w:r>
      <w:r>
        <w:rPr>
          <w:rFonts w:ascii="Times New Roman"/>
          <w:b w:val="false"/>
          <w:i w:val="false"/>
          <w:color w:val="000000"/>
          <w:sz w:val="28"/>
        </w:rPr>
        <w:t xml:space="preserve"> к настоящему Плану;</w:t>
      </w:r>
    </w:p>
    <w:bookmarkEnd w:id="10"/>
    <w:bookmarkStart w:name="z19" w:id="11"/>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76</w:t>
      </w:r>
      <w:r>
        <w:rPr>
          <w:rFonts w:ascii="Times New Roman"/>
          <w:b w:val="false"/>
          <w:i w:val="false"/>
          <w:color w:val="000000"/>
          <w:sz w:val="28"/>
        </w:rPr>
        <w:t xml:space="preserve"> - </w:t>
      </w:r>
      <w:r>
        <w:rPr>
          <w:rFonts w:ascii="Times New Roman"/>
          <w:b w:val="false"/>
          <w:i w:val="false"/>
          <w:color w:val="000000"/>
          <w:sz w:val="28"/>
        </w:rPr>
        <w:t>100</w:t>
      </w:r>
      <w:r>
        <w:rPr>
          <w:rFonts w:ascii="Times New Roman"/>
          <w:b w:val="false"/>
          <w:i w:val="false"/>
          <w:color w:val="000000"/>
          <w:sz w:val="28"/>
        </w:rPr>
        <w:t xml:space="preserve"> к настоящему Плану;</w:t>
      </w:r>
    </w:p>
    <w:bookmarkEnd w:id="11"/>
    <w:bookmarkStart w:name="z20"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101</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к настоящему Плану;</w:t>
      </w:r>
    </w:p>
    <w:bookmarkEnd w:id="12"/>
    <w:bookmarkStart w:name="z21"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районного значения, поселка, села, сельского округа согласно </w:t>
      </w:r>
      <w:r>
        <w:rPr>
          <w:rFonts w:ascii="Times New Roman"/>
          <w:b w:val="false"/>
          <w:i w:val="false"/>
          <w:color w:val="000000"/>
          <w:sz w:val="28"/>
        </w:rPr>
        <w:t>приложениям 126</w:t>
      </w:r>
      <w:r>
        <w:rPr>
          <w:rFonts w:ascii="Times New Roman"/>
          <w:b w:val="false"/>
          <w:i w:val="false"/>
          <w:color w:val="000000"/>
          <w:sz w:val="28"/>
        </w:rPr>
        <w:t xml:space="preserve"> - </w:t>
      </w:r>
      <w:r>
        <w:rPr>
          <w:rFonts w:ascii="Times New Roman"/>
          <w:b w:val="false"/>
          <w:i w:val="false"/>
          <w:color w:val="000000"/>
          <w:sz w:val="28"/>
        </w:rPr>
        <w:t>150</w:t>
      </w:r>
      <w:r>
        <w:rPr>
          <w:rFonts w:ascii="Times New Roman"/>
          <w:b w:val="false"/>
          <w:i w:val="false"/>
          <w:color w:val="000000"/>
          <w:sz w:val="28"/>
        </w:rPr>
        <w:t xml:space="preserve"> к настоящему Плану;</w:t>
      </w:r>
    </w:p>
    <w:bookmarkEnd w:id="13"/>
    <w:bookmarkStart w:name="z22" w:id="14"/>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передвижение сельскохозяйственных животных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настоящему Плану;</w:t>
      </w:r>
    </w:p>
    <w:bookmarkEnd w:id="14"/>
    <w:bookmarkStart w:name="z23" w:id="15"/>
    <w:p>
      <w:pPr>
        <w:spacing w:after="0"/>
        <w:ind w:left="0"/>
        <w:jc w:val="both"/>
      </w:pPr>
      <w:r>
        <w:rPr>
          <w:rFonts w:ascii="Times New Roman"/>
          <w:b w:val="false"/>
          <w:i w:val="false"/>
          <w:color w:val="000000"/>
          <w:sz w:val="28"/>
        </w:rPr>
        <w:t xml:space="preserve">
      8) иные требования, необходимые для рационального использования пастбищ на соответствующей административно - территориальной единице согласно </w:t>
      </w:r>
      <w:r>
        <w:rPr>
          <w:rFonts w:ascii="Times New Roman"/>
          <w:b w:val="false"/>
          <w:i w:val="false"/>
          <w:color w:val="000000"/>
          <w:sz w:val="28"/>
        </w:rPr>
        <w:t>приложениям 152</w:t>
      </w:r>
      <w:r>
        <w:rPr>
          <w:rFonts w:ascii="Times New Roman"/>
          <w:b w:val="false"/>
          <w:i w:val="false"/>
          <w:color w:val="000000"/>
          <w:sz w:val="28"/>
        </w:rPr>
        <w:t>-</w:t>
      </w:r>
      <w:r>
        <w:rPr>
          <w:rFonts w:ascii="Times New Roman"/>
          <w:b w:val="false"/>
          <w:i w:val="false"/>
          <w:color w:val="000000"/>
          <w:sz w:val="28"/>
        </w:rPr>
        <w:t>156</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План сведения о состоянии геоботанического обследования пастбищ, сведения о ветеринарно-санитарных объектах, данные о численности поголовья сельскохозяйственных животных с указанием владельцев пастбищ, физических и (или) юридических лиц, данные о количестве сформированных стад, отаров, стад по видам сельскохозяйственных животных и половозрастным группам, сведения о формировании поголовья сельскохозяйственных животных для выпаса на отгонных пастбищах, приняты с учетом особенностей выпаса сельскохозяйственных животных на сеянных и аридных пастбищах, сведений о сервитутах на перегон скота, иных данных, предоставленных государственными органами, физическими и (или) юридическими лицами.</w:t>
      </w:r>
    </w:p>
    <w:bookmarkEnd w:id="16"/>
    <w:bookmarkStart w:name="z25" w:id="17"/>
    <w:p>
      <w:pPr>
        <w:spacing w:after="0"/>
        <w:ind w:left="0"/>
        <w:jc w:val="both"/>
      </w:pPr>
      <w:r>
        <w:rPr>
          <w:rFonts w:ascii="Times New Roman"/>
          <w:b w:val="false"/>
          <w:i w:val="false"/>
          <w:color w:val="000000"/>
          <w:sz w:val="28"/>
        </w:rPr>
        <w:t>
      Нуринский район образован в 1928 году. Территория района составляет 46,3 тысячи квадратных километров. Численность населения – 22,8 тысяч человек. Районный центр - поселок Нура. Расположен 205 километр к северо-западу от города Караганды.</w:t>
      </w:r>
    </w:p>
    <w:bookmarkEnd w:id="17"/>
    <w:bookmarkStart w:name="z26" w:id="18"/>
    <w:p>
      <w:pPr>
        <w:spacing w:after="0"/>
        <w:ind w:left="0"/>
        <w:jc w:val="both"/>
      </w:pPr>
      <w:r>
        <w:rPr>
          <w:rFonts w:ascii="Times New Roman"/>
          <w:b w:val="false"/>
          <w:i w:val="false"/>
          <w:color w:val="000000"/>
          <w:sz w:val="28"/>
        </w:rPr>
        <w:t>
      В целом сельских округов утвержденных 1 516 892,1 гектар пастбища, в том числе коренного улучшения 205 932 гектара.</w:t>
      </w:r>
    </w:p>
    <w:bookmarkEnd w:id="18"/>
    <w:bookmarkStart w:name="z27" w:id="19"/>
    <w:p>
      <w:pPr>
        <w:spacing w:after="0"/>
        <w:ind w:left="0"/>
        <w:jc w:val="both"/>
      </w:pPr>
      <w:r>
        <w:rPr>
          <w:rFonts w:ascii="Times New Roman"/>
          <w:b w:val="false"/>
          <w:i w:val="false"/>
          <w:color w:val="000000"/>
          <w:sz w:val="28"/>
        </w:rPr>
        <w:t>
      Продолжительность пастбищного периода 135-200 дня. Используется для выпаса скота, сенокос и рубка кустарников на лугах в период искусственных кормов.</w:t>
      </w:r>
    </w:p>
    <w:bookmarkEnd w:id="19"/>
    <w:bookmarkStart w:name="z28" w:id="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средне-норматив нагрузки на 1 голову в степи сухой составляет: </w:t>
      </w:r>
    </w:p>
    <w:bookmarkEnd w:id="20"/>
    <w:bookmarkStart w:name="z29" w:id="21"/>
    <w:p>
      <w:pPr>
        <w:spacing w:after="0"/>
        <w:ind w:left="0"/>
        <w:jc w:val="both"/>
      </w:pPr>
      <w:r>
        <w:rPr>
          <w:rFonts w:ascii="Times New Roman"/>
          <w:b w:val="false"/>
          <w:i w:val="false"/>
          <w:color w:val="000000"/>
          <w:sz w:val="28"/>
        </w:rPr>
        <w:t>
      Крупный рогатый скот 13-19 гектар, мелкий рогатый скот 2,6-3,8 гектар, лошади 15,6-22,8 гектар.</w:t>
      </w:r>
    </w:p>
    <w:bookmarkEnd w:id="21"/>
    <w:bookmarkStart w:name="z30" w:id="22"/>
    <w:p>
      <w:pPr>
        <w:spacing w:after="0"/>
        <w:ind w:left="0"/>
        <w:jc w:val="both"/>
      </w:pPr>
      <w:r>
        <w:rPr>
          <w:rFonts w:ascii="Times New Roman"/>
          <w:b w:val="false"/>
          <w:i w:val="false"/>
          <w:color w:val="000000"/>
          <w:sz w:val="28"/>
        </w:rPr>
        <w:t>
      Вместимость пастбищ</w:t>
      </w:r>
    </w:p>
    <w:bookmarkEnd w:id="22"/>
    <w:bookmarkStart w:name="z31" w:id="23"/>
    <w:p>
      <w:pPr>
        <w:spacing w:after="0"/>
        <w:ind w:left="0"/>
        <w:jc w:val="both"/>
      </w:pPr>
      <w:r>
        <w:rPr>
          <w:rFonts w:ascii="Times New Roman"/>
          <w:b w:val="false"/>
          <w:i w:val="false"/>
          <w:color w:val="000000"/>
          <w:sz w:val="28"/>
        </w:rPr>
        <w:t>
      Нуринский район располагает тремя источниками кормов: пастбища, природные и сеяные сенокосы. Площадь всего – 4040,9 тысячи гектара, площадь естественных сенокосов – 68,2 тысячи гектара, площадь сеяных трав – 40,6 тысячи гектара.</w:t>
      </w:r>
    </w:p>
    <w:bookmarkEnd w:id="23"/>
    <w:bookmarkStart w:name="z32" w:id="24"/>
    <w:p>
      <w:pPr>
        <w:spacing w:after="0"/>
        <w:ind w:left="0"/>
        <w:jc w:val="both"/>
      </w:pPr>
      <w:r>
        <w:rPr>
          <w:rFonts w:ascii="Times New Roman"/>
          <w:b w:val="false"/>
          <w:i w:val="false"/>
          <w:color w:val="000000"/>
          <w:sz w:val="28"/>
        </w:rPr>
        <w:t>
      Суточная потребность в зеленом корме определяется по зоотехническим нормам, принятым в хозяйстве на разные виды животных. Однако, допускается применение следующих прогнозных норм зеленых кормов (в среднем на одну голову): на коров в зависимости от выздоровления 40-75 килограмм, приплод крупного рогатого скота более 1 года-30-40 килограмм, приплод до 1 года-15-25 килограмм, овец-6-8 килограмм, ягнят-2-3 килограмм, лошадей-30-40 килограмм. Продолжительность полевого периода в разных зонах: 130-140 дней в лесной зоне, 150-200 дней в лесостепной зоне, 180-200 дней в степной зоне. Таким образом, можно определить продуктивность поля, необходимость суток в зеленом плоде и продолжительность периода поля, зная емкость, можно определить вместимость пастбищ, зная суточную потребность зеленого корма животным и продолжительность периода поля.</w:t>
      </w:r>
    </w:p>
    <w:bookmarkEnd w:id="24"/>
    <w:bookmarkStart w:name="z33" w:id="25"/>
    <w:p>
      <w:pPr>
        <w:spacing w:after="0"/>
        <w:ind w:left="0"/>
        <w:jc w:val="both"/>
      </w:pPr>
      <w:r>
        <w:rPr>
          <w:rFonts w:ascii="Times New Roman"/>
          <w:b w:val="false"/>
          <w:i w:val="false"/>
          <w:color w:val="000000"/>
          <w:sz w:val="28"/>
        </w:rPr>
        <w:t>
      Пастбища имеют ряд определенных систем: а) свободный или бессистемный пастьба, ежедневно выпас скота на пастбищах в течение всего пастбищного периода б) привязные пастбища, животные в небольших массивах перевязываются на канате и цепочке, а затем переводятся в другую площадь в) система пастбищных угодий, пастбища разделяют на несколько баранов и поочередно выпасают скот. На привязи выпасают быки и слабые скоты.</w:t>
      </w:r>
    </w:p>
    <w:bookmarkEnd w:id="25"/>
    <w:bookmarkStart w:name="z34" w:id="26"/>
    <w:p>
      <w:pPr>
        <w:spacing w:after="0"/>
        <w:ind w:left="0"/>
        <w:jc w:val="both"/>
      </w:pPr>
      <w:r>
        <w:rPr>
          <w:rFonts w:ascii="Times New Roman"/>
          <w:b w:val="false"/>
          <w:i w:val="false"/>
          <w:color w:val="000000"/>
          <w:sz w:val="28"/>
        </w:rPr>
        <w:t>
      Система полевого выпаса скота. Основное направление рационального использования пастбищ-система выпаса. Этот метод обладает преимуществом для бессистемного выпаса скота. При выпасе парного, свободного скота толщина травы постоянно уменьшается, в результате чего полезные растения исчезают на плохую съеденную траву, бобовые продукты меняются на малые растения. Таким образом, во второй половине пастбищного периода животные испытывают недостаток кормления, вынуждают кормить растениями, которые составляют меньшую полезность. В системе пастьбы эти недостатки устраняются, сохраняются высокая урожайность пастбищ и сенокосная трава.</w:t>
      </w:r>
    </w:p>
    <w:bookmarkEnd w:id="26"/>
    <w:bookmarkStart w:name="z35" w:id="27"/>
    <w:p>
      <w:pPr>
        <w:spacing w:after="0"/>
        <w:ind w:left="0"/>
        <w:jc w:val="both"/>
      </w:pPr>
      <w:r>
        <w:rPr>
          <w:rFonts w:ascii="Times New Roman"/>
          <w:b w:val="false"/>
          <w:i w:val="false"/>
          <w:color w:val="000000"/>
          <w:sz w:val="28"/>
        </w:rPr>
        <w:t>
      Среднее число пастбищного оборота может быть рассчитано по формуле для пастбищ данного типа: количество полей= (продолжительность пастбищного периода) допустимая продолжительность пребывания скота в поле *количество прополок циклов) * 1,5, 180/6 * 2=15</w:t>
      </w:r>
    </w:p>
    <w:bookmarkEnd w:id="27"/>
    <w:bookmarkStart w:name="z36" w:id="28"/>
    <w:p>
      <w:pPr>
        <w:spacing w:after="0"/>
        <w:ind w:left="0"/>
        <w:jc w:val="both"/>
      </w:pPr>
      <w:r>
        <w:rPr>
          <w:rFonts w:ascii="Times New Roman"/>
          <w:b w:val="false"/>
          <w:i w:val="false"/>
          <w:color w:val="000000"/>
          <w:sz w:val="28"/>
        </w:rPr>
        <w:t>
      При трехстойных пастбищных оборотах предусматривается в среднем двукратная прополка. При продолжительности пастбищного периода 180 дней и 6 дней в поле скота общее количество пастбищного поля составляет 15, а на площади 5 расчет размера поля. Размер поля равен длине дня / число поля. 100 голов коров 600/15=40 га.</w:t>
      </w:r>
    </w:p>
    <w:bookmarkEnd w:id="28"/>
    <w:bookmarkStart w:name="z37" w:id="29"/>
    <w:p>
      <w:pPr>
        <w:spacing w:after="0"/>
        <w:ind w:left="0"/>
        <w:jc w:val="both"/>
      </w:pPr>
      <w:r>
        <w:rPr>
          <w:rFonts w:ascii="Times New Roman"/>
          <w:b w:val="false"/>
          <w:i w:val="false"/>
          <w:color w:val="000000"/>
          <w:sz w:val="28"/>
        </w:rPr>
        <w:t>
      Всего: трехпольные пастбища для 100 голов крупный рогатый скот объем пастбищного оборота 600 гектара, площади 200 гектара, 5 полей на каждой площади 40 гектара. Важное место в системе пастбищ занимает длина, ширина и форма поля для организации рационального использования очередной прополки сенокосной травы. На естественных пастбищах сухой степной зоны размер пастбищного оборота площади предоставляется в пределах 60-90 гектара, при выпасе скота организуются 3-4 очередных прополки.</w:t>
      </w:r>
    </w:p>
    <w:bookmarkEnd w:id="29"/>
    <w:bookmarkStart w:name="z38" w:id="30"/>
    <w:p>
      <w:pPr>
        <w:spacing w:after="0"/>
        <w:ind w:left="0"/>
        <w:jc w:val="both"/>
      </w:pPr>
      <w:r>
        <w:rPr>
          <w:rFonts w:ascii="Times New Roman"/>
          <w:b w:val="false"/>
          <w:i w:val="false"/>
          <w:color w:val="000000"/>
          <w:sz w:val="28"/>
        </w:rPr>
        <w:t>
      Все мероприятия, входящие в систему поверхностного улучшения, можно объединить в следующие группы: 1) культур технические мероприятия – расчистка от кустарника, уничтожение кочек, камней, оставление и создание кустарниковых полос на склонах - и песках; 2) улучшение и регулирование водного режима – снегозадержание, щелевание, боронование, дискование; 3) агротехнические – удобрение, борьба с сорняками, подсев.</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0" w:id="3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Балыктыкуль Нуринского района</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3" w:id="3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Баршын Нуринского района</w:t>
      </w:r>
    </w:p>
    <w:bookmarkEnd w:id="33"/>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6" w:id="3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Донской Нуринского района</w:t>
      </w:r>
    </w:p>
    <w:bookmarkEnd w:id="35"/>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 и их</w:t>
            </w:r>
            <w:r>
              <w:br/>
            </w:r>
            <w:r>
              <w:rPr>
                <w:rFonts w:ascii="Times New Roman"/>
                <w:b w:val="false"/>
                <w:i w:val="false"/>
                <w:color w:val="000000"/>
                <w:sz w:val="20"/>
              </w:rPr>
              <w:t>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9" w:id="3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Жараспай Нуринского района</w:t>
      </w:r>
    </w:p>
    <w:bookmarkEnd w:id="37"/>
    <w:bookmarkStart w:name="z5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2" w:id="3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Заречное Нуринского района</w:t>
      </w:r>
    </w:p>
    <w:bookmarkEnd w:id="39"/>
    <w:bookmarkStart w:name="z5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5" w:id="4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Акмешит Нуринского района</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8" w:id="4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Индустриальный Нуринского района</w:t>
      </w:r>
    </w:p>
    <w:bookmarkEnd w:id="43"/>
    <w:bookmarkStart w:name="z5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61" w:id="4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Каракойын Нуринского района</w:t>
      </w:r>
    </w:p>
    <w:bookmarkEnd w:id="45"/>
    <w:bookmarkStart w:name="z6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64" w:id="4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Карой Нуринского района</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67" w:id="4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Кенжарык Нуринского района</w:t>
      </w:r>
    </w:p>
    <w:bookmarkEnd w:id="49"/>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70" w:id="5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Нура Нуринского района</w:t>
      </w:r>
    </w:p>
    <w:bookmarkEnd w:id="51"/>
    <w:bookmarkStart w:name="z7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73" w:id="5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Егинди Нуринского района</w:t>
      </w:r>
    </w:p>
    <w:bookmarkEnd w:id="53"/>
    <w:bookmarkStart w:name="z7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76" w:id="5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Корганжар Нуринского района</w:t>
      </w:r>
    </w:p>
    <w:bookmarkEnd w:id="55"/>
    <w:bookmarkStart w:name="z7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79" w:id="5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Куланутпес Нуринского района</w:t>
      </w:r>
    </w:p>
    <w:bookmarkEnd w:id="57"/>
    <w:bookmarkStart w:name="z8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82" w:id="5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Кызылтал Нуринского района</w:t>
      </w:r>
    </w:p>
    <w:bookmarkEnd w:id="59"/>
    <w:bookmarkStart w:name="z8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85" w:id="6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Байтуган Нуринского района</w:t>
      </w:r>
    </w:p>
    <w:bookmarkEnd w:id="61"/>
    <w:bookmarkStart w:name="z8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88" w:id="6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Музбел Нуринского района</w:t>
      </w:r>
    </w:p>
    <w:bookmarkEnd w:id="63"/>
    <w:bookmarkStart w:name="z8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91" w:id="6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Соналы Нуринского района</w:t>
      </w:r>
    </w:p>
    <w:bookmarkEnd w:id="65"/>
    <w:bookmarkStart w:name="z9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962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962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94" w:id="6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Талдысай Нуринского района</w:t>
      </w:r>
    </w:p>
    <w:bookmarkEnd w:id="67"/>
    <w:bookmarkStart w:name="z9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97" w:id="6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Тассуат Нуринского района</w:t>
      </w:r>
    </w:p>
    <w:bookmarkEnd w:id="69"/>
    <w:bookmarkStart w:name="z9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00" w:id="7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Сарыозен Нуринского района</w:t>
      </w:r>
    </w:p>
    <w:bookmarkEnd w:id="71"/>
    <w:bookmarkStart w:name="z10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03" w:id="7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Кобетей Нуринского района</w:t>
      </w:r>
    </w:p>
    <w:bookmarkEnd w:id="73"/>
    <w:bookmarkStart w:name="z10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06" w:id="7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Шахтер Нуринского района</w:t>
      </w:r>
    </w:p>
    <w:bookmarkEnd w:id="75"/>
    <w:bookmarkStart w:name="z10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09" w:id="7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Шубаркуль Нуринского района</w:t>
      </w:r>
    </w:p>
    <w:bookmarkEnd w:id="77"/>
    <w:bookmarkStart w:name="z11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12" w:id="7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Ахмет Нуринского района</w:t>
      </w:r>
    </w:p>
    <w:bookmarkEnd w:id="79"/>
    <w:bookmarkStart w:name="z11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15" w:id="81"/>
    <w:p>
      <w:pPr>
        <w:spacing w:after="0"/>
        <w:ind w:left="0"/>
        <w:jc w:val="left"/>
      </w:pPr>
      <w:r>
        <w:rPr>
          <w:rFonts w:ascii="Times New Roman"/>
          <w:b/>
          <w:i w:val="false"/>
          <w:color w:val="000000"/>
        </w:rPr>
        <w:t xml:space="preserve"> Приемлемая схема пастбищеоборотов сельского округа Балыктыкуль Нуринского района</w:t>
      </w:r>
    </w:p>
    <w:bookmarkEnd w:id="81"/>
    <w:bookmarkStart w:name="z11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18" w:id="83"/>
    <w:p>
      <w:pPr>
        <w:spacing w:after="0"/>
        <w:ind w:left="0"/>
        <w:jc w:val="left"/>
      </w:pPr>
      <w:r>
        <w:rPr>
          <w:rFonts w:ascii="Times New Roman"/>
          <w:b/>
          <w:i w:val="false"/>
          <w:color w:val="000000"/>
        </w:rPr>
        <w:t xml:space="preserve"> Приемлемая схема пастбищеоборотов сельского округа Баршын Нуринского района</w:t>
      </w:r>
    </w:p>
    <w:bookmarkEnd w:id="83"/>
    <w:bookmarkStart w:name="z11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21" w:id="85"/>
    <w:p>
      <w:pPr>
        <w:spacing w:after="0"/>
        <w:ind w:left="0"/>
        <w:jc w:val="left"/>
      </w:pPr>
      <w:r>
        <w:rPr>
          <w:rFonts w:ascii="Times New Roman"/>
          <w:b/>
          <w:i w:val="false"/>
          <w:color w:val="000000"/>
        </w:rPr>
        <w:t xml:space="preserve"> Приемлемая схема пастбищеоборотов сельского округа Донской Нуринского района</w:t>
      </w:r>
    </w:p>
    <w:bookmarkEnd w:id="85"/>
    <w:bookmarkStart w:name="z12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24" w:id="87"/>
    <w:p>
      <w:pPr>
        <w:spacing w:after="0"/>
        <w:ind w:left="0"/>
        <w:jc w:val="left"/>
      </w:pPr>
      <w:r>
        <w:rPr>
          <w:rFonts w:ascii="Times New Roman"/>
          <w:b/>
          <w:i w:val="false"/>
          <w:color w:val="000000"/>
        </w:rPr>
        <w:t xml:space="preserve"> Приемлемая схема пастбищеоборотов сельского округа Жараспай Нуринского района</w:t>
      </w:r>
    </w:p>
    <w:bookmarkEnd w:id="87"/>
    <w:bookmarkStart w:name="z12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27" w:id="89"/>
    <w:p>
      <w:pPr>
        <w:spacing w:after="0"/>
        <w:ind w:left="0"/>
        <w:jc w:val="left"/>
      </w:pPr>
      <w:r>
        <w:rPr>
          <w:rFonts w:ascii="Times New Roman"/>
          <w:b/>
          <w:i w:val="false"/>
          <w:color w:val="000000"/>
        </w:rPr>
        <w:t xml:space="preserve"> Приемлемая схема пастбищеоборотов сельского округа Заречное Нуринского района</w:t>
      </w:r>
    </w:p>
    <w:bookmarkEnd w:id="89"/>
    <w:bookmarkStart w:name="z12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30" w:id="91"/>
    <w:p>
      <w:pPr>
        <w:spacing w:after="0"/>
        <w:ind w:left="0"/>
        <w:jc w:val="left"/>
      </w:pPr>
      <w:r>
        <w:rPr>
          <w:rFonts w:ascii="Times New Roman"/>
          <w:b/>
          <w:i w:val="false"/>
          <w:color w:val="000000"/>
        </w:rPr>
        <w:t xml:space="preserve"> Приемлемая схема пастбищеоборотов сельского округа Акмешит Нуринского района</w:t>
      </w:r>
    </w:p>
    <w:bookmarkEnd w:id="91"/>
    <w:bookmarkStart w:name="z13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33" w:id="93"/>
    <w:p>
      <w:pPr>
        <w:spacing w:after="0"/>
        <w:ind w:left="0"/>
        <w:jc w:val="left"/>
      </w:pPr>
      <w:r>
        <w:rPr>
          <w:rFonts w:ascii="Times New Roman"/>
          <w:b/>
          <w:i w:val="false"/>
          <w:color w:val="000000"/>
        </w:rPr>
        <w:t xml:space="preserve"> Приемлемая схема пастбищеоборотов сельского округа Индустриальный Нуринского района</w:t>
      </w:r>
    </w:p>
    <w:bookmarkEnd w:id="93"/>
    <w:bookmarkStart w:name="z13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36" w:id="95"/>
    <w:p>
      <w:pPr>
        <w:spacing w:after="0"/>
        <w:ind w:left="0"/>
        <w:jc w:val="left"/>
      </w:pPr>
      <w:r>
        <w:rPr>
          <w:rFonts w:ascii="Times New Roman"/>
          <w:b/>
          <w:i w:val="false"/>
          <w:color w:val="000000"/>
        </w:rPr>
        <w:t xml:space="preserve"> Приемлемая схема пастбищеоборотов сельского округа Каракойын Нуринского района</w:t>
      </w:r>
    </w:p>
    <w:bookmarkEnd w:id="95"/>
    <w:bookmarkStart w:name="z13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39" w:id="97"/>
    <w:p>
      <w:pPr>
        <w:spacing w:after="0"/>
        <w:ind w:left="0"/>
        <w:jc w:val="left"/>
      </w:pPr>
      <w:r>
        <w:rPr>
          <w:rFonts w:ascii="Times New Roman"/>
          <w:b/>
          <w:i w:val="false"/>
          <w:color w:val="000000"/>
        </w:rPr>
        <w:t xml:space="preserve"> Приемлемая схема пастбищеоборотов сельского округа Карой Нуринского района</w:t>
      </w:r>
    </w:p>
    <w:bookmarkEnd w:id="97"/>
    <w:bookmarkStart w:name="z14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6708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708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42" w:id="99"/>
    <w:p>
      <w:pPr>
        <w:spacing w:after="0"/>
        <w:ind w:left="0"/>
        <w:jc w:val="left"/>
      </w:pPr>
      <w:r>
        <w:rPr>
          <w:rFonts w:ascii="Times New Roman"/>
          <w:b/>
          <w:i w:val="false"/>
          <w:color w:val="000000"/>
        </w:rPr>
        <w:t xml:space="preserve"> Приемлемая схема пастбищеоборотов сельского округа Кенжарык Нуринского района</w:t>
      </w:r>
    </w:p>
    <w:bookmarkEnd w:id="99"/>
    <w:bookmarkStart w:name="z14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45" w:id="101"/>
    <w:p>
      <w:pPr>
        <w:spacing w:after="0"/>
        <w:ind w:left="0"/>
        <w:jc w:val="left"/>
      </w:pPr>
      <w:r>
        <w:rPr>
          <w:rFonts w:ascii="Times New Roman"/>
          <w:b/>
          <w:i w:val="false"/>
          <w:color w:val="000000"/>
        </w:rPr>
        <w:t xml:space="preserve"> Приемлемая схема пастбищеоборотов поселка Нура Нуринского района</w:t>
      </w:r>
    </w:p>
    <w:bookmarkEnd w:id="101"/>
    <w:bookmarkStart w:name="z14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48" w:id="103"/>
    <w:p>
      <w:pPr>
        <w:spacing w:after="0"/>
        <w:ind w:left="0"/>
        <w:jc w:val="left"/>
      </w:pPr>
      <w:r>
        <w:rPr>
          <w:rFonts w:ascii="Times New Roman"/>
          <w:b/>
          <w:i w:val="false"/>
          <w:color w:val="000000"/>
        </w:rPr>
        <w:t xml:space="preserve"> Приемлемая схема пастбищеоборотов сельского округа Егинди Нуринского района</w:t>
      </w:r>
    </w:p>
    <w:bookmarkEnd w:id="103"/>
    <w:bookmarkStart w:name="z14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51" w:id="105"/>
    <w:p>
      <w:pPr>
        <w:spacing w:after="0"/>
        <w:ind w:left="0"/>
        <w:jc w:val="left"/>
      </w:pPr>
      <w:r>
        <w:rPr>
          <w:rFonts w:ascii="Times New Roman"/>
          <w:b/>
          <w:i w:val="false"/>
          <w:color w:val="000000"/>
        </w:rPr>
        <w:t xml:space="preserve"> Приемлемая схема пастбищеоборотов сельского округа Корганжар Нуринского района</w:t>
      </w:r>
    </w:p>
    <w:bookmarkEnd w:id="105"/>
    <w:bookmarkStart w:name="z15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54" w:id="107"/>
    <w:p>
      <w:pPr>
        <w:spacing w:after="0"/>
        <w:ind w:left="0"/>
        <w:jc w:val="left"/>
      </w:pPr>
      <w:r>
        <w:rPr>
          <w:rFonts w:ascii="Times New Roman"/>
          <w:b/>
          <w:i w:val="false"/>
          <w:color w:val="000000"/>
        </w:rPr>
        <w:t xml:space="preserve"> Приемлемая схема пастбищеоборотов сельского округа Куланутпес Нуринского района</w:t>
      </w:r>
    </w:p>
    <w:bookmarkEnd w:id="107"/>
    <w:bookmarkStart w:name="z15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57" w:id="109"/>
    <w:p>
      <w:pPr>
        <w:spacing w:after="0"/>
        <w:ind w:left="0"/>
        <w:jc w:val="left"/>
      </w:pPr>
      <w:r>
        <w:rPr>
          <w:rFonts w:ascii="Times New Roman"/>
          <w:b/>
          <w:i w:val="false"/>
          <w:color w:val="000000"/>
        </w:rPr>
        <w:t xml:space="preserve"> Приемлемая схема пастбищеоборотов сельского округа Кызылтал Нуринского района</w:t>
      </w:r>
    </w:p>
    <w:bookmarkEnd w:id="109"/>
    <w:bookmarkStart w:name="z15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60" w:id="111"/>
    <w:p>
      <w:pPr>
        <w:spacing w:after="0"/>
        <w:ind w:left="0"/>
        <w:jc w:val="left"/>
      </w:pPr>
      <w:r>
        <w:rPr>
          <w:rFonts w:ascii="Times New Roman"/>
          <w:b/>
          <w:i w:val="false"/>
          <w:color w:val="000000"/>
        </w:rPr>
        <w:t xml:space="preserve"> Приемлемая схема пастбищеоборотов сельского округа Байтуган Нуринского района</w:t>
      </w:r>
    </w:p>
    <w:bookmarkEnd w:id="111"/>
    <w:bookmarkStart w:name="z16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63" w:id="113"/>
    <w:p>
      <w:pPr>
        <w:spacing w:after="0"/>
        <w:ind w:left="0"/>
        <w:jc w:val="left"/>
      </w:pPr>
      <w:r>
        <w:rPr>
          <w:rFonts w:ascii="Times New Roman"/>
          <w:b/>
          <w:i w:val="false"/>
          <w:color w:val="000000"/>
        </w:rPr>
        <w:t xml:space="preserve"> Приемлемая схема пастбищеоборотов сельского округа Музбел Нуринского района</w:t>
      </w:r>
    </w:p>
    <w:bookmarkEnd w:id="113"/>
    <w:bookmarkStart w:name="z16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66" w:id="115"/>
    <w:p>
      <w:pPr>
        <w:spacing w:after="0"/>
        <w:ind w:left="0"/>
        <w:jc w:val="left"/>
      </w:pPr>
      <w:r>
        <w:rPr>
          <w:rFonts w:ascii="Times New Roman"/>
          <w:b/>
          <w:i w:val="false"/>
          <w:color w:val="000000"/>
        </w:rPr>
        <w:t xml:space="preserve"> Приемлемая схема пастбищеоборотов сельского округа Соналы Нуринского района</w:t>
      </w:r>
    </w:p>
    <w:bookmarkEnd w:id="115"/>
    <w:bookmarkStart w:name="z16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0612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612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69" w:id="117"/>
    <w:p>
      <w:pPr>
        <w:spacing w:after="0"/>
        <w:ind w:left="0"/>
        <w:jc w:val="left"/>
      </w:pPr>
      <w:r>
        <w:rPr>
          <w:rFonts w:ascii="Times New Roman"/>
          <w:b/>
          <w:i w:val="false"/>
          <w:color w:val="000000"/>
        </w:rPr>
        <w:t xml:space="preserve"> Приемлемая схема пастбищеоборотов сельского округа Талдысай Нуринского района</w:t>
      </w:r>
    </w:p>
    <w:bookmarkEnd w:id="117"/>
    <w:bookmarkStart w:name="z17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72" w:id="119"/>
    <w:p>
      <w:pPr>
        <w:spacing w:after="0"/>
        <w:ind w:left="0"/>
        <w:jc w:val="left"/>
      </w:pPr>
      <w:r>
        <w:rPr>
          <w:rFonts w:ascii="Times New Roman"/>
          <w:b/>
          <w:i w:val="false"/>
          <w:color w:val="000000"/>
        </w:rPr>
        <w:t xml:space="preserve"> Приемлемая схема пастбищеоборотов сельского округа Тассуат Нуринского района</w:t>
      </w:r>
    </w:p>
    <w:bookmarkEnd w:id="119"/>
    <w:bookmarkStart w:name="z17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75" w:id="121"/>
    <w:p>
      <w:pPr>
        <w:spacing w:after="0"/>
        <w:ind w:left="0"/>
        <w:jc w:val="left"/>
      </w:pPr>
      <w:r>
        <w:rPr>
          <w:rFonts w:ascii="Times New Roman"/>
          <w:b/>
          <w:i w:val="false"/>
          <w:color w:val="000000"/>
        </w:rPr>
        <w:t xml:space="preserve"> Приемлемая схема пастбищеоборотов сельского округа Сарыозен Нуринского района</w:t>
      </w:r>
    </w:p>
    <w:bookmarkEnd w:id="121"/>
    <w:bookmarkStart w:name="z17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78" w:id="123"/>
    <w:p>
      <w:pPr>
        <w:spacing w:after="0"/>
        <w:ind w:left="0"/>
        <w:jc w:val="left"/>
      </w:pPr>
      <w:r>
        <w:rPr>
          <w:rFonts w:ascii="Times New Roman"/>
          <w:b/>
          <w:i w:val="false"/>
          <w:color w:val="000000"/>
        </w:rPr>
        <w:t xml:space="preserve"> Приемлемая схема пастбищеоборотов сельского округа Кобетей Нуринского района</w:t>
      </w:r>
    </w:p>
    <w:bookmarkEnd w:id="123"/>
    <w:bookmarkStart w:name="z179"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3533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533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81" w:id="125"/>
    <w:p>
      <w:pPr>
        <w:spacing w:after="0"/>
        <w:ind w:left="0"/>
        <w:jc w:val="left"/>
      </w:pPr>
      <w:r>
        <w:rPr>
          <w:rFonts w:ascii="Times New Roman"/>
          <w:b/>
          <w:i w:val="false"/>
          <w:color w:val="000000"/>
        </w:rPr>
        <w:t xml:space="preserve"> Приемлемая схема пастбищеоборотов сельского округа Шахтер Нуринского района</w:t>
      </w:r>
    </w:p>
    <w:bookmarkEnd w:id="125"/>
    <w:bookmarkStart w:name="z18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6327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327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84" w:id="127"/>
    <w:p>
      <w:pPr>
        <w:spacing w:after="0"/>
        <w:ind w:left="0"/>
        <w:jc w:val="left"/>
      </w:pPr>
      <w:r>
        <w:rPr>
          <w:rFonts w:ascii="Times New Roman"/>
          <w:b/>
          <w:i w:val="false"/>
          <w:color w:val="000000"/>
        </w:rPr>
        <w:t xml:space="preserve"> Приемлемая схема пастбищеоборотов поселка Шубаркуль Нуринского района</w:t>
      </w:r>
    </w:p>
    <w:bookmarkEnd w:id="127"/>
    <w:bookmarkStart w:name="z18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87" w:id="129"/>
    <w:p>
      <w:pPr>
        <w:spacing w:after="0"/>
        <w:ind w:left="0"/>
        <w:jc w:val="left"/>
      </w:pPr>
      <w:r>
        <w:rPr>
          <w:rFonts w:ascii="Times New Roman"/>
          <w:b/>
          <w:i w:val="false"/>
          <w:color w:val="000000"/>
        </w:rPr>
        <w:t xml:space="preserve"> Приемлемая схема пастбищеоборотов сельского округа Ахмет Нуринского района</w:t>
      </w:r>
    </w:p>
    <w:bookmarkEnd w:id="129"/>
    <w:bookmarkStart w:name="z18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90" w:id="1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Балыктыкуль Нуринского района</w:t>
      </w:r>
    </w:p>
    <w:bookmarkEnd w:id="131"/>
    <w:bookmarkStart w:name="z19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93" w:id="1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Баршын Нуринского района</w:t>
      </w:r>
    </w:p>
    <w:bookmarkEnd w:id="133"/>
    <w:bookmarkStart w:name="z19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96" w:id="13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Донской Нуринского района</w:t>
      </w:r>
    </w:p>
    <w:bookmarkEnd w:id="135"/>
    <w:bookmarkStart w:name="z19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199" w:id="1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Жараспай Нуринского района</w:t>
      </w:r>
    </w:p>
    <w:bookmarkEnd w:id="137"/>
    <w:bookmarkStart w:name="z20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02" w:id="1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Заречное Нуринского района</w:t>
      </w:r>
    </w:p>
    <w:bookmarkEnd w:id="139"/>
    <w:bookmarkStart w:name="z20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05" w:id="1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Акмешит Нуринского района</w:t>
      </w:r>
    </w:p>
    <w:bookmarkEnd w:id="141"/>
    <w:bookmarkStart w:name="z20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08" w:id="1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Индустриальный Нуринского района</w:t>
      </w:r>
    </w:p>
    <w:bookmarkEnd w:id="143"/>
    <w:bookmarkStart w:name="z20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11" w:id="14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Каракойын Нуринского района</w:t>
      </w:r>
    </w:p>
    <w:bookmarkEnd w:id="145"/>
    <w:bookmarkStart w:name="z21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14" w:id="1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Карой Нуринского района</w:t>
      </w:r>
    </w:p>
    <w:bookmarkEnd w:id="147"/>
    <w:bookmarkStart w:name="z21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7216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216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17" w:id="1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Кенжарык Нуринского района</w:t>
      </w:r>
    </w:p>
    <w:bookmarkEnd w:id="149"/>
    <w:bookmarkStart w:name="z21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20" w:id="1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Нура Нуринского района</w:t>
      </w:r>
    </w:p>
    <w:bookmarkEnd w:id="151"/>
    <w:bookmarkStart w:name="z22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23" w:id="1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Егинди Нуринского района</w:t>
      </w:r>
    </w:p>
    <w:bookmarkEnd w:id="153"/>
    <w:bookmarkStart w:name="z22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5946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946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26" w:id="15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Корганжар Нуринского района</w:t>
      </w:r>
    </w:p>
    <w:bookmarkEnd w:id="155"/>
    <w:bookmarkStart w:name="z227"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29" w:id="15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Куланутпес Нуринского района</w:t>
      </w:r>
    </w:p>
    <w:bookmarkEnd w:id="157"/>
    <w:bookmarkStart w:name="z23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32" w:id="15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Кызылтал Нуринского района</w:t>
      </w:r>
    </w:p>
    <w:bookmarkEnd w:id="159"/>
    <w:bookmarkStart w:name="z23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35" w:id="16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Байтуган Нуринского района</w:t>
      </w:r>
    </w:p>
    <w:bookmarkEnd w:id="161"/>
    <w:bookmarkStart w:name="z23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38" w:id="1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Музбел Нуринского района</w:t>
      </w:r>
    </w:p>
    <w:bookmarkEnd w:id="163"/>
    <w:bookmarkStart w:name="z23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41" w:id="16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Соналы Нуринского района</w:t>
      </w:r>
    </w:p>
    <w:bookmarkEnd w:id="165"/>
    <w:bookmarkStart w:name="z24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2136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136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44" w:id="1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Талдысай Нуринского района</w:t>
      </w:r>
    </w:p>
    <w:bookmarkEnd w:id="167"/>
    <w:bookmarkStart w:name="z24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47" w:id="16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Тассуат Нуринского района</w:t>
      </w:r>
    </w:p>
    <w:bookmarkEnd w:id="169"/>
    <w:bookmarkStart w:name="z24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50" w:id="1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Сарыозен Нуринского района</w:t>
      </w:r>
    </w:p>
    <w:bookmarkEnd w:id="171"/>
    <w:bookmarkStart w:name="z25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53" w:id="17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Кобетей Нуринского района</w:t>
      </w:r>
    </w:p>
    <w:bookmarkEnd w:id="173"/>
    <w:bookmarkStart w:name="z25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2517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517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56" w:id="17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Шахтер Нуринского района</w:t>
      </w:r>
    </w:p>
    <w:bookmarkEnd w:id="175"/>
    <w:bookmarkStart w:name="z257"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7851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851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59" w:id="17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Шубаркуль Нуринского района</w:t>
      </w:r>
    </w:p>
    <w:bookmarkEnd w:id="177"/>
    <w:bookmarkStart w:name="z26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62" w:id="1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Ахмет Нуринского района</w:t>
      </w:r>
    </w:p>
    <w:bookmarkEnd w:id="179"/>
    <w:bookmarkStart w:name="z26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65" w:id="1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Балыктыкуль Нуринского района</w:t>
      </w:r>
    </w:p>
    <w:bookmarkEnd w:id="181"/>
    <w:bookmarkStart w:name="z26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68" w:id="18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Баршын Нуринского района</w:t>
      </w:r>
    </w:p>
    <w:bookmarkEnd w:id="183"/>
    <w:bookmarkStart w:name="z26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71" w:id="18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Донской Нуринского района</w:t>
      </w:r>
    </w:p>
    <w:bookmarkEnd w:id="185"/>
    <w:bookmarkStart w:name="z27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74" w:id="18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Жараспай Нуринского района</w:t>
      </w:r>
    </w:p>
    <w:bookmarkEnd w:id="187"/>
    <w:bookmarkStart w:name="z27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77" w:id="18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Заречное Нуринского района</w:t>
      </w:r>
    </w:p>
    <w:bookmarkEnd w:id="189"/>
    <w:bookmarkStart w:name="z27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6581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581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80" w:id="1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Акмешит Нуринского района</w:t>
      </w:r>
    </w:p>
    <w:bookmarkEnd w:id="191"/>
    <w:bookmarkStart w:name="z28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83" w:id="19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Индустриальный Нуринского района</w:t>
      </w:r>
    </w:p>
    <w:bookmarkEnd w:id="193"/>
    <w:bookmarkStart w:name="z28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86" w:id="19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Каракойын Нуринского района</w:t>
      </w:r>
    </w:p>
    <w:bookmarkEnd w:id="195"/>
    <w:bookmarkStart w:name="z28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89" w:id="19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Карой Нуринского района</w:t>
      </w:r>
    </w:p>
    <w:bookmarkEnd w:id="197"/>
    <w:bookmarkStart w:name="z290"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92" w:id="19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Кенжарык Нуринского района</w:t>
      </w:r>
    </w:p>
    <w:bookmarkEnd w:id="199"/>
    <w:bookmarkStart w:name="z29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95" w:id="20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Нура Нуринского района</w:t>
      </w:r>
    </w:p>
    <w:bookmarkEnd w:id="201"/>
    <w:bookmarkStart w:name="z296"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620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200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298" w:id="2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Егинди Нуринского района</w:t>
      </w:r>
    </w:p>
    <w:bookmarkEnd w:id="203"/>
    <w:bookmarkStart w:name="z29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01" w:id="2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Корганжар Нуринского района</w:t>
      </w:r>
    </w:p>
    <w:bookmarkEnd w:id="205"/>
    <w:bookmarkStart w:name="z30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04" w:id="20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Куланутпес Нуринского района</w:t>
      </w:r>
    </w:p>
    <w:bookmarkEnd w:id="207"/>
    <w:bookmarkStart w:name="z30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07" w:id="2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Кызылтал Нуринского района</w:t>
      </w:r>
    </w:p>
    <w:bookmarkEnd w:id="209"/>
    <w:bookmarkStart w:name="z308"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10" w:id="21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Байтуган Нуринского района</w:t>
      </w:r>
    </w:p>
    <w:bookmarkEnd w:id="211"/>
    <w:bookmarkStart w:name="z31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13" w:id="21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Музбел Нуринского района</w:t>
      </w:r>
    </w:p>
    <w:bookmarkEnd w:id="213"/>
    <w:bookmarkStart w:name="z31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16" w:id="2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Соналы Нуринского района</w:t>
      </w:r>
    </w:p>
    <w:bookmarkEnd w:id="215"/>
    <w:bookmarkStart w:name="z31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1628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1628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19" w:id="21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Талдысай Нуринского района</w:t>
      </w:r>
    </w:p>
    <w:bookmarkEnd w:id="217"/>
    <w:bookmarkStart w:name="z32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22" w:id="2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Тассуат Нуринского района</w:t>
      </w:r>
    </w:p>
    <w:bookmarkEnd w:id="219"/>
    <w:bookmarkStart w:name="z32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7978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978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25" w:id="2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Сарыозен Нуринского района</w:t>
      </w:r>
    </w:p>
    <w:bookmarkEnd w:id="221"/>
    <w:bookmarkStart w:name="z32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28" w:id="22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Кобетей Нуринского района</w:t>
      </w:r>
    </w:p>
    <w:bookmarkEnd w:id="223"/>
    <w:bookmarkStart w:name="z329"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1374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1374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31" w:id="22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Шахтер Нуринского района</w:t>
      </w:r>
    </w:p>
    <w:bookmarkEnd w:id="225"/>
    <w:bookmarkStart w:name="z33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6708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708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34" w:id="22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Шубаркуль Нуринского района</w:t>
      </w:r>
    </w:p>
    <w:bookmarkEnd w:id="227"/>
    <w:bookmarkStart w:name="z33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37" w:id="2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Ахмет Нуринского района</w:t>
      </w:r>
    </w:p>
    <w:bookmarkEnd w:id="229"/>
    <w:bookmarkStart w:name="z338"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40" w:id="2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Балыктыкуль Нуринского района</w:t>
      </w:r>
    </w:p>
    <w:bookmarkEnd w:id="231"/>
    <w:bookmarkStart w:name="z34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43" w:id="2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Баршын Нуринского района</w:t>
      </w:r>
    </w:p>
    <w:bookmarkEnd w:id="233"/>
    <w:bookmarkStart w:name="z344"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46" w:id="2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Донской Нуринского района</w:t>
      </w:r>
    </w:p>
    <w:bookmarkEnd w:id="235"/>
    <w:bookmarkStart w:name="z347"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49" w:id="23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Жараспай Нуринского района</w:t>
      </w:r>
    </w:p>
    <w:bookmarkEnd w:id="237"/>
    <w:bookmarkStart w:name="z350"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52" w:id="23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Заречное Нуринского района</w:t>
      </w:r>
    </w:p>
    <w:bookmarkEnd w:id="239"/>
    <w:bookmarkStart w:name="z353"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6200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6200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55" w:id="24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Акмешит Нуринского района</w:t>
      </w:r>
    </w:p>
    <w:bookmarkEnd w:id="241"/>
    <w:bookmarkStart w:name="z356"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58" w:id="24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Индустриальный Нуринского района</w:t>
      </w:r>
    </w:p>
    <w:bookmarkEnd w:id="243"/>
    <w:bookmarkStart w:name="z35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5946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946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61" w:id="2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Каракойын Нуринского района</w:t>
      </w:r>
    </w:p>
    <w:bookmarkEnd w:id="245"/>
    <w:bookmarkStart w:name="z36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64" w:id="24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Карой Нуринского района</w:t>
      </w:r>
    </w:p>
    <w:bookmarkEnd w:id="247"/>
    <w:bookmarkStart w:name="z36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67" w:id="24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Кенжарык Нуринского района</w:t>
      </w:r>
    </w:p>
    <w:bookmarkEnd w:id="249"/>
    <w:bookmarkStart w:name="z36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70" w:id="25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Нура Нуринского района</w:t>
      </w:r>
    </w:p>
    <w:bookmarkEnd w:id="251"/>
    <w:bookmarkStart w:name="z37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797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97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73" w:id="25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Егинди Нуринского района</w:t>
      </w:r>
    </w:p>
    <w:bookmarkEnd w:id="253"/>
    <w:bookmarkStart w:name="z37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76" w:id="25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Корганжар Нуринского района</w:t>
      </w:r>
    </w:p>
    <w:bookmarkEnd w:id="255"/>
    <w:bookmarkStart w:name="z37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79" w:id="25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Куланутпес Нуринского района</w:t>
      </w:r>
    </w:p>
    <w:bookmarkEnd w:id="257"/>
    <w:bookmarkStart w:name="z380"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82" w:id="25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Кызылтал Нуринского района</w:t>
      </w:r>
    </w:p>
    <w:bookmarkEnd w:id="259"/>
    <w:bookmarkStart w:name="z383"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85" w:id="26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Байтуган Нуринского района</w:t>
      </w:r>
    </w:p>
    <w:bookmarkEnd w:id="261"/>
    <w:bookmarkStart w:name="z38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88" w:id="26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Музбел Нуринского района</w:t>
      </w:r>
    </w:p>
    <w:bookmarkEnd w:id="263"/>
    <w:bookmarkStart w:name="z38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91" w:id="26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Соналы Нуринского района</w:t>
      </w:r>
    </w:p>
    <w:bookmarkEnd w:id="265"/>
    <w:bookmarkStart w:name="z39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1247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1247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94" w:id="2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Талдысай Нуринского района</w:t>
      </w:r>
    </w:p>
    <w:bookmarkEnd w:id="267"/>
    <w:bookmarkStart w:name="z39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397" w:id="26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Тассуат Нуринского района</w:t>
      </w:r>
    </w:p>
    <w:bookmarkEnd w:id="269"/>
    <w:bookmarkStart w:name="z398"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00" w:id="27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Сарыозен Нуринского района</w:t>
      </w:r>
    </w:p>
    <w:bookmarkEnd w:id="271"/>
    <w:bookmarkStart w:name="z40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03" w:id="27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Кобетей Нуринского района</w:t>
      </w:r>
    </w:p>
    <w:bookmarkEnd w:id="273"/>
    <w:bookmarkStart w:name="z40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251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2517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06" w:id="27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Шахтер Нуринского района</w:t>
      </w:r>
    </w:p>
    <w:bookmarkEnd w:id="275"/>
    <w:bookmarkStart w:name="z40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670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670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09" w:id="27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Шубаркуль Нуринского района</w:t>
      </w:r>
    </w:p>
    <w:bookmarkEnd w:id="277"/>
    <w:bookmarkStart w:name="z41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12" w:id="27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Ахмет Нуринского района</w:t>
      </w:r>
    </w:p>
    <w:bookmarkEnd w:id="279"/>
    <w:bookmarkStart w:name="z413"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15" w:id="28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Балыктыкуль Нуринского района</w:t>
      </w:r>
    </w:p>
    <w:bookmarkEnd w:id="281"/>
    <w:bookmarkStart w:name="z416"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18" w:id="28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Баршын Нуринского района</w:t>
      </w:r>
    </w:p>
    <w:bookmarkEnd w:id="283"/>
    <w:bookmarkStart w:name="z41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21" w:id="2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Донской Нуринского района</w:t>
      </w:r>
    </w:p>
    <w:bookmarkEnd w:id="285"/>
    <w:bookmarkStart w:name="z42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24" w:id="2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Жараспай Нуринского района</w:t>
      </w:r>
    </w:p>
    <w:bookmarkEnd w:id="287"/>
    <w:bookmarkStart w:name="z42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27" w:id="28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Заречное Нуринского района</w:t>
      </w:r>
    </w:p>
    <w:bookmarkEnd w:id="289"/>
    <w:bookmarkStart w:name="z42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30" w:id="29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Акмешит Нуринского района</w:t>
      </w:r>
    </w:p>
    <w:bookmarkEnd w:id="291"/>
    <w:bookmarkStart w:name="z43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33" w:id="29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Индустриальный Нуринского района</w:t>
      </w:r>
    </w:p>
    <w:bookmarkEnd w:id="293"/>
    <w:bookmarkStart w:name="z434"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36" w:id="29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Каракойын Нуринского района</w:t>
      </w:r>
    </w:p>
    <w:bookmarkEnd w:id="295"/>
    <w:bookmarkStart w:name="z437"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39" w:id="29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Карой Нуринского района</w:t>
      </w:r>
    </w:p>
    <w:bookmarkEnd w:id="297"/>
    <w:bookmarkStart w:name="z440"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42" w:id="29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Кенжарык Нуринского района</w:t>
      </w:r>
    </w:p>
    <w:bookmarkEnd w:id="299"/>
    <w:bookmarkStart w:name="z443"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45" w:id="30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Нура Нуринского района</w:t>
      </w:r>
    </w:p>
    <w:bookmarkEnd w:id="301"/>
    <w:bookmarkStart w:name="z446"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48" w:id="30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Егинди Нуринского района</w:t>
      </w:r>
    </w:p>
    <w:bookmarkEnd w:id="303"/>
    <w:bookmarkStart w:name="z44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6962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6962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51" w:id="30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Корганжар Нуринского района</w:t>
      </w:r>
    </w:p>
    <w:bookmarkEnd w:id="305"/>
    <w:bookmarkStart w:name="z45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216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7216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54" w:id="30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Куланутпес Нуринского района</w:t>
      </w:r>
    </w:p>
    <w:bookmarkEnd w:id="307"/>
    <w:bookmarkStart w:name="z45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57" w:id="3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Кызылтал Нуринского района</w:t>
      </w:r>
    </w:p>
    <w:bookmarkEnd w:id="309"/>
    <w:bookmarkStart w:name="z458"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60" w:id="31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Байтуган Нуринского района</w:t>
      </w:r>
    </w:p>
    <w:bookmarkEnd w:id="311"/>
    <w:bookmarkStart w:name="z46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63" w:id="31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Музбел Нуринского района</w:t>
      </w:r>
    </w:p>
    <w:bookmarkEnd w:id="313"/>
    <w:bookmarkStart w:name="z464"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66" w:id="31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Соналы Нуринского района</w:t>
      </w:r>
    </w:p>
    <w:bookmarkEnd w:id="315"/>
    <w:bookmarkStart w:name="z46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2136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2136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69" w:id="31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Талдысай Нуринского района</w:t>
      </w:r>
    </w:p>
    <w:bookmarkEnd w:id="317"/>
    <w:bookmarkStart w:name="z470"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72" w:id="31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Тассуат Нуринского района</w:t>
      </w:r>
    </w:p>
    <w:bookmarkEnd w:id="319"/>
    <w:bookmarkStart w:name="z47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75" w:id="32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Сарыозен Нуринского района</w:t>
      </w:r>
    </w:p>
    <w:bookmarkEnd w:id="321"/>
    <w:bookmarkStart w:name="z47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78" w:id="32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Кобетей Нуринского района</w:t>
      </w:r>
    </w:p>
    <w:bookmarkEnd w:id="323"/>
    <w:bookmarkStart w:name="z47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3533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3533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81" w:id="32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Шахтер Нуринского района</w:t>
      </w:r>
    </w:p>
    <w:bookmarkEnd w:id="325"/>
    <w:bookmarkStart w:name="z48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84" w:id="32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Шубаркуль Нуринского района</w:t>
      </w:r>
    </w:p>
    <w:bookmarkEnd w:id="327"/>
    <w:bookmarkStart w:name="z48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87" w:id="32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Ахмет Нуринского района</w:t>
      </w:r>
    </w:p>
    <w:bookmarkEnd w:id="329"/>
    <w:bookmarkStart w:name="z488"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490" w:id="331"/>
    <w:p>
      <w:pPr>
        <w:spacing w:after="0"/>
        <w:ind w:left="0"/>
        <w:jc w:val="left"/>
      </w:pPr>
      <w:r>
        <w:rPr>
          <w:rFonts w:ascii="Times New Roman"/>
          <w:b/>
          <w:i w:val="false"/>
          <w:color w:val="000000"/>
        </w:rPr>
        <w:t xml:space="preserve"> Календарный график, устанавливающий весеннего выпаса скота и использования пастбищ закачки маршрутов сезонных сельскохозяйственных животных</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778"/>
        <w:gridCol w:w="3779"/>
        <w:gridCol w:w="3779"/>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угодий</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2"/>
          <w:p>
            <w:pPr>
              <w:spacing w:after="20"/>
              <w:ind w:left="20"/>
              <w:jc w:val="both"/>
            </w:pPr>
            <w:r>
              <w:rPr>
                <w:rFonts w:ascii="Times New Roman"/>
                <w:b w:val="false"/>
                <w:i w:val="false"/>
                <w:color w:val="000000"/>
                <w:sz w:val="20"/>
              </w:rPr>
              <w:t>
С 25.04 по 9.05</w:t>
            </w:r>
            <w:r>
              <w:br/>
            </w:r>
            <w:r>
              <w:rPr>
                <w:rFonts w:ascii="Times New Roman"/>
                <w:b w:val="false"/>
                <w:i w:val="false"/>
                <w:color w:val="000000"/>
                <w:sz w:val="20"/>
              </w:rPr>
              <w:t>
</w:t>
            </w:r>
            <w:r>
              <w:rPr>
                <w:rFonts w:ascii="Times New Roman"/>
                <w:b w:val="false"/>
                <w:i w:val="false"/>
                <w:color w:val="000000"/>
                <w:sz w:val="20"/>
              </w:rPr>
              <w:t>3 раза:</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2"/>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33"/>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01.07.-22.08</w:t>
            </w:r>
          </w:p>
          <w:bookmarkEnd w:id="333"/>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34"/>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7.09-21.10</w:t>
            </w:r>
          </w:p>
          <w:bookmarkEnd w:id="334"/>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35"/>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01.07.-22.08</w:t>
            </w:r>
          </w:p>
          <w:bookmarkEnd w:id="335"/>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6"/>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7.09-21.10</w:t>
            </w:r>
          </w:p>
          <w:bookmarkEnd w:id="336"/>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7"/>
          <w:p>
            <w:pPr>
              <w:spacing w:after="20"/>
              <w:ind w:left="20"/>
              <w:jc w:val="both"/>
            </w:pPr>
            <w:r>
              <w:rPr>
                <w:rFonts w:ascii="Times New Roman"/>
                <w:b w:val="false"/>
                <w:i w:val="false"/>
                <w:color w:val="000000"/>
                <w:sz w:val="20"/>
              </w:rPr>
              <w:t>
С 25.04 по 9.05</w:t>
            </w:r>
            <w:r>
              <w:br/>
            </w:r>
            <w:r>
              <w:rPr>
                <w:rFonts w:ascii="Times New Roman"/>
                <w:b w:val="false"/>
                <w:i w:val="false"/>
                <w:color w:val="000000"/>
                <w:sz w:val="20"/>
              </w:rPr>
              <w:t>
</w:t>
            </w:r>
            <w:r>
              <w:rPr>
                <w:rFonts w:ascii="Times New Roman"/>
                <w:b w:val="false"/>
                <w:i w:val="false"/>
                <w:color w:val="000000"/>
                <w:sz w:val="20"/>
              </w:rPr>
              <w:t>3 раза:</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7"/>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8"/>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7.09-21.10</w:t>
            </w:r>
          </w:p>
          <w:bookmarkEnd w:id="338"/>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9"/>
          <w:p>
            <w:pPr>
              <w:spacing w:after="20"/>
              <w:ind w:left="20"/>
              <w:jc w:val="both"/>
            </w:pPr>
            <w:r>
              <w:rPr>
                <w:rFonts w:ascii="Times New Roman"/>
                <w:b w:val="false"/>
                <w:i w:val="false"/>
                <w:color w:val="000000"/>
                <w:sz w:val="20"/>
              </w:rPr>
              <w:t>
С 25.04 по 9.05</w:t>
            </w:r>
            <w:r>
              <w:br/>
            </w:r>
            <w:r>
              <w:rPr>
                <w:rFonts w:ascii="Times New Roman"/>
                <w:b w:val="false"/>
                <w:i w:val="false"/>
                <w:color w:val="000000"/>
                <w:sz w:val="20"/>
              </w:rPr>
              <w:t>
</w:t>
            </w:r>
            <w:r>
              <w:rPr>
                <w:rFonts w:ascii="Times New Roman"/>
                <w:b w:val="false"/>
                <w:i w:val="false"/>
                <w:color w:val="000000"/>
                <w:sz w:val="20"/>
              </w:rPr>
              <w:t>3 раза:</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9"/>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0"/>
          <w:p>
            <w:pPr>
              <w:spacing w:after="20"/>
              <w:ind w:left="20"/>
              <w:jc w:val="both"/>
            </w:pPr>
            <w:r>
              <w:rPr>
                <w:rFonts w:ascii="Times New Roman"/>
                <w:b w:val="false"/>
                <w:i w:val="false"/>
                <w:color w:val="000000"/>
                <w:sz w:val="20"/>
              </w:rPr>
              <w:t>
Один раз прополка</w:t>
            </w:r>
            <w:r>
              <w:br/>
            </w:r>
            <w:r>
              <w:rPr>
                <w:rFonts w:ascii="Times New Roman"/>
                <w:b w:val="false"/>
                <w:i w:val="false"/>
                <w:color w:val="000000"/>
                <w:sz w:val="20"/>
              </w:rPr>
              <w:t>
01.07.-22.08</w:t>
            </w:r>
          </w:p>
          <w:bookmarkEnd w:id="340"/>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выпаса скота на пастбищах</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пастбищ скота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Кызылтальский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Музбельский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Ахметаульский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Сарыузенский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Соналынский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п.Шубаркол</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первой половине мая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сентября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10" w:id="341"/>
    <w:p>
      <w:pPr>
        <w:spacing w:after="0"/>
        <w:ind w:left="0"/>
        <w:jc w:val="left"/>
      </w:pPr>
      <w:r>
        <w:rPr>
          <w:rFonts w:ascii="Times New Roman"/>
          <w:b/>
          <w:i w:val="false"/>
          <w:color w:val="000000"/>
        </w:rPr>
        <w:t xml:space="preserve"> Сведения о ветеринарно-санитарных объектов в разрезе сельских округов</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848"/>
        <w:gridCol w:w="2868"/>
        <w:gridCol w:w="1848"/>
        <w:gridCol w:w="2869"/>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Убойные площадки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Кызылтальский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Музбельский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Ахметаульский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Сарыузенский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Соналынский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п.Шубаркол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12" w:id="342"/>
    <w:p>
      <w:pPr>
        <w:spacing w:after="0"/>
        <w:ind w:left="0"/>
        <w:jc w:val="left"/>
      </w:pPr>
      <w:r>
        <w:rPr>
          <w:rFonts w:ascii="Times New Roman"/>
          <w:b/>
          <w:i w:val="false"/>
          <w:color w:val="000000"/>
        </w:rPr>
        <w:t xml:space="preserve"> Информация о количестве поголовья животных сельского хозяйства в разрезе сельских округов:</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1"/>
        <w:gridCol w:w="2997"/>
        <w:gridCol w:w="2997"/>
        <w:gridCol w:w="2997"/>
        <w:gridCol w:w="932"/>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сельских округов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Кызылтальский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Музбельский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Ахметаульский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Сарыузенский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Соналынский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п.Шубаркол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14" w:id="343"/>
    <w:p>
      <w:pPr>
        <w:spacing w:after="0"/>
        <w:ind w:left="0"/>
        <w:jc w:val="left"/>
      </w:pPr>
      <w:r>
        <w:rPr>
          <w:rFonts w:ascii="Times New Roman"/>
          <w:b/>
          <w:i w:val="false"/>
          <w:color w:val="000000"/>
        </w:rPr>
        <w:t xml:space="preserve"> Предельно допустимые нормы нагрузки на общую площадь пастбищ</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644"/>
        <w:gridCol w:w="1012"/>
        <w:gridCol w:w="1826"/>
        <w:gridCol w:w="1053"/>
        <w:gridCol w:w="1053"/>
        <w:gridCol w:w="807"/>
        <w:gridCol w:w="808"/>
        <w:gridCol w:w="1053"/>
        <w:gridCol w:w="1054"/>
        <w:gridCol w:w="1054"/>
        <w:gridCol w:w="105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Экологогеографическийрайон (подзона)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пастбищ(преобладающий)</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площади пастбищ на 1 голову сельскохозяйственных животных на восстановленных и деградированных угодьях,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Умеренно-сухая степь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Ковылково-типчаковые с полынно-кокпековыми на солонцах</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16" w:id="344"/>
    <w:p>
      <w:pPr>
        <w:spacing w:after="0"/>
        <w:ind w:left="0"/>
        <w:jc w:val="left"/>
      </w:pPr>
      <w:r>
        <w:rPr>
          <w:rFonts w:ascii="Times New Roman"/>
          <w:b/>
          <w:i w:val="false"/>
          <w:color w:val="000000"/>
        </w:rPr>
        <w:t xml:space="preserve"> Пастбищные угодия в разрезе сельских округов</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06"/>
        <w:gridCol w:w="4606"/>
        <w:gridCol w:w="3265"/>
        <w:gridCol w:w="237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включая коренного улучшение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обводненные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Кызылтальский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Музбельский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Ахметаульский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Сарыузенский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Соналынский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п.Шубаркол</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п.Нура</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1 516 892,1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их использованию на территории земель</w:t>
            </w:r>
            <w:r>
              <w:br/>
            </w:r>
            <w:r>
              <w:rPr>
                <w:rFonts w:ascii="Times New Roman"/>
                <w:b w:val="false"/>
                <w:i w:val="false"/>
                <w:color w:val="000000"/>
                <w:sz w:val="20"/>
              </w:rPr>
              <w:t>Нуринского района на 2020 – 2021 годы.</w:t>
            </w:r>
          </w:p>
        </w:tc>
      </w:tr>
    </w:tbl>
    <w:bookmarkStart w:name="z519" w:id="345"/>
    <w:p>
      <w:pPr>
        <w:spacing w:after="0"/>
        <w:ind w:left="0"/>
        <w:jc w:val="left"/>
      </w:pPr>
      <w:r>
        <w:rPr>
          <w:rFonts w:ascii="Times New Roman"/>
          <w:b/>
          <w:i w:val="false"/>
          <w:color w:val="000000"/>
        </w:rPr>
        <w:t xml:space="preserve"> План по развитию и реконструкции объектов инфраструктуры пастбищ</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954"/>
        <w:gridCol w:w="1789"/>
        <w:gridCol w:w="1790"/>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ежемесячного отчета по выполнению индикативных планов по строительству колодцев</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Ежеквартально 10 числа месяца, следующего за отчетным периодом,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управление сельского хозяйства области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6"/>
          <w:p>
            <w:pPr>
              <w:spacing w:after="20"/>
              <w:ind w:left="20"/>
              <w:jc w:val="both"/>
            </w:pPr>
            <w:r>
              <w:rPr>
                <w:rFonts w:ascii="Times New Roman"/>
                <w:b w:val="false"/>
                <w:i w:val="false"/>
                <w:color w:val="000000"/>
                <w:sz w:val="20"/>
              </w:rPr>
              <w:t>
Проведение разъяснительной работы о мерах государственной поддержки по возмещению затрат на приобретение оборудования и техники</w:t>
            </w:r>
            <w:r>
              <w:br/>
            </w:r>
            <w:r>
              <w:rPr>
                <w:rFonts w:ascii="Times New Roman"/>
                <w:b w:val="false"/>
                <w:i w:val="false"/>
                <w:color w:val="000000"/>
                <w:sz w:val="20"/>
              </w:rPr>
              <w:t>
Для обводнения пастбищ</w:t>
            </w:r>
          </w:p>
          <w:bookmarkEnd w:id="346"/>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выступления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Интернет-ресурсе акимата района буровой колодец (скважина), оказывающих услуги по размещению перечня предприятий</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выступления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