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d2e2" w14:textId="8fed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Саранского городского маслихата от 22 декабря 2011 года № 676 "Об определении Правил о размере и порядке оказания жилищной помощи населению города Сарани и поселка Актас"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Саранского городского маслихата Карагандинской области от 22 декабря 2020 года № 585. Зарегистрировано в Министерстве юстиции Республики Казахстан 31 декабря 2020 года № 22002. Утратило силу решением Саранского городского маслихата Карагандинской области от 28 марта 2024 года № 103</w:t>
      </w:r>
    </w:p>
    <w:p>
      <w:pPr>
        <w:spacing w:after="0"/>
        <w:ind w:left="0"/>
        <w:jc w:val="both"/>
      </w:pPr>
      <w:r>
        <w:rPr>
          <w:rFonts w:ascii="Times New Roman"/>
          <w:b w:val="false"/>
          <w:i w:val="false"/>
          <w:color w:val="ff0000"/>
          <w:sz w:val="28"/>
        </w:rPr>
        <w:t xml:space="preserve">
      Сноска. Утратило силу решением Саранского городского маслихата Карагандинской области от 28.03.2024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Саранский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Саранского городского маслихата от 22 декабря 2011 года № 676 "Об определении Правил о размере и порядке оказания жилищной помощи населению города Сарани и поселка Актас" (зарегистрировано в Реестре государственной регистрации нормативных правовых актов за № 8-7-129, опубликовано в газете "Саран газеті" от 30 декабря 2011 года № 53)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размере и порядке оказания жилищной помощи населению города Сарани и поселка Актас, определенных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"Настоящие Правила о размере и порядке оказания жилищной помощи населению города Сарани и поселка Актас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(далее – Правила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определяют размер и порядок предоставления жилищной помощи семьям (гражданам) города Сарани и поселка Актас.";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"Глава 1. Общие положения";</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подпункт 5) исключить;</w:t>
      </w:r>
    </w:p>
    <w:bookmarkEnd w:id="6"/>
    <w:bookmarkStart w:name="z13" w:id="7"/>
    <w:p>
      <w:pPr>
        <w:spacing w:after="0"/>
        <w:ind w:left="0"/>
        <w:jc w:val="both"/>
      </w:pPr>
      <w:r>
        <w:rPr>
          <w:rFonts w:ascii="Times New Roman"/>
          <w:b w:val="false"/>
          <w:i w:val="false"/>
          <w:color w:val="000000"/>
          <w:sz w:val="28"/>
        </w:rPr>
        <w:t>
      подпункт 7) исключить;</w:t>
      </w:r>
    </w:p>
    <w:bookmarkEnd w:id="7"/>
    <w:bookmarkStart w:name="z14" w:id="8"/>
    <w:p>
      <w:pPr>
        <w:spacing w:after="0"/>
        <w:ind w:left="0"/>
        <w:jc w:val="both"/>
      </w:pPr>
      <w:r>
        <w:rPr>
          <w:rFonts w:ascii="Times New Roman"/>
          <w:b w:val="false"/>
          <w:i w:val="false"/>
          <w:color w:val="000000"/>
          <w:sz w:val="28"/>
        </w:rPr>
        <w:t>
      подпункт 8) изложить в следующей редакции:</w:t>
      </w:r>
    </w:p>
    <w:bookmarkEnd w:id="8"/>
    <w:bookmarkStart w:name="z15" w:id="9"/>
    <w:p>
      <w:pPr>
        <w:spacing w:after="0"/>
        <w:ind w:left="0"/>
        <w:jc w:val="both"/>
      </w:pPr>
      <w:r>
        <w:rPr>
          <w:rFonts w:ascii="Times New Roman"/>
          <w:b w:val="false"/>
          <w:i w:val="false"/>
          <w:color w:val="000000"/>
          <w:sz w:val="28"/>
        </w:rPr>
        <w:t>
      "8) совокупный доход малообеспеченной семьи (гражданина) – общая сумма доходов семьи (гражданина) за квартал, предшествующий кварталу обращения за назначением жилищной помощи;";</w:t>
      </w:r>
    </w:p>
    <w:bookmarkEnd w:id="9"/>
    <w:bookmarkStart w:name="z16" w:id="10"/>
    <w:p>
      <w:pPr>
        <w:spacing w:after="0"/>
        <w:ind w:left="0"/>
        <w:jc w:val="both"/>
      </w:pPr>
      <w:r>
        <w:rPr>
          <w:rFonts w:ascii="Times New Roman"/>
          <w:b w:val="false"/>
          <w:i w:val="false"/>
          <w:color w:val="000000"/>
          <w:sz w:val="28"/>
        </w:rPr>
        <w:t>
      подпункт 12) изложить в следующей редакции:</w:t>
      </w:r>
    </w:p>
    <w:bookmarkEnd w:id="10"/>
    <w:bookmarkStart w:name="z17" w:id="11"/>
    <w:p>
      <w:pPr>
        <w:spacing w:after="0"/>
        <w:ind w:left="0"/>
        <w:jc w:val="both"/>
      </w:pPr>
      <w:r>
        <w:rPr>
          <w:rFonts w:ascii="Times New Roman"/>
          <w:b w:val="false"/>
          <w:i w:val="false"/>
          <w:color w:val="000000"/>
          <w:sz w:val="28"/>
        </w:rPr>
        <w:t>
      "12) доля предельно-допустимых расходов – отношение предельно-допустимого уровня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в процентах;";</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12"/>
    <w:bookmarkStart w:name="z20" w:id="13"/>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13"/>
    <w:bookmarkStart w:name="z21" w:id="14"/>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14"/>
    <w:bookmarkStart w:name="z22" w:id="15"/>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15"/>
    <w:bookmarkStart w:name="z23" w:id="16"/>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6"/>
    <w:bookmarkStart w:name="z24" w:id="17"/>
    <w:p>
      <w:pPr>
        <w:spacing w:after="0"/>
        <w:ind w:left="0"/>
        <w:jc w:val="both"/>
      </w:pPr>
      <w:r>
        <w:rPr>
          <w:rFonts w:ascii="Times New Roman"/>
          <w:b w:val="false"/>
          <w:i w:val="false"/>
          <w:color w:val="000000"/>
          <w:sz w:val="28"/>
        </w:rPr>
        <w:t>
      Уровень предельно-допустимых расходов устанавливается к совокупному доходу семьи в размере семи процентов.</w:t>
      </w:r>
    </w:p>
    <w:bookmarkEnd w:id="17"/>
    <w:bookmarkStart w:name="z25" w:id="18"/>
    <w:p>
      <w:pPr>
        <w:spacing w:after="0"/>
        <w:ind w:left="0"/>
        <w:jc w:val="both"/>
      </w:pPr>
      <w:r>
        <w:rPr>
          <w:rFonts w:ascii="Times New Roman"/>
          <w:b w:val="false"/>
          <w:i w:val="false"/>
          <w:color w:val="000000"/>
          <w:sz w:val="28"/>
        </w:rPr>
        <w:t>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"Глава 2. Определение нормативов оказания жилищной помощи";</w:t>
      </w:r>
    </w:p>
    <w:bookmarkEnd w:id="19"/>
    <w:bookmarkStart w:name="z29" w:id="20"/>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0"/>
    <w:bookmarkStart w:name="z30" w:id="21"/>
    <w:p>
      <w:pPr>
        <w:spacing w:after="0"/>
        <w:ind w:left="0"/>
        <w:jc w:val="both"/>
      </w:pPr>
      <w:r>
        <w:rPr>
          <w:rFonts w:ascii="Times New Roman"/>
          <w:b w:val="false"/>
          <w:i w:val="false"/>
          <w:color w:val="000000"/>
          <w:sz w:val="28"/>
        </w:rPr>
        <w:t>
      "5) нормы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мусороудаления, независимо от формы управления (кооперативов собственников квартир, комитет самоуправления, домовые комитеты, оформившие юридическую форму правления), устанавливаются на основе тарифов, утвержденных поставщиками услуг или органом, утверждающим тариф;";</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заголовки глав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"Глава 3. Порядок назначения и выплаты жилищной помощи</w:t>
      </w:r>
    </w:p>
    <w:bookmarkEnd w:id="22"/>
    <w:bookmarkStart w:name="z33" w:id="23"/>
    <w:p>
      <w:pPr>
        <w:spacing w:after="0"/>
        <w:ind w:left="0"/>
        <w:jc w:val="both"/>
      </w:pPr>
      <w:r>
        <w:rPr>
          <w:rFonts w:ascii="Times New Roman"/>
          <w:b w:val="false"/>
          <w:i w:val="false"/>
          <w:color w:val="000000"/>
          <w:sz w:val="28"/>
        </w:rPr>
        <w:t>
      Глава 4. Сроки и периодичность предоставления жилищной помощи</w:t>
      </w:r>
    </w:p>
    <w:bookmarkEnd w:id="23"/>
    <w:bookmarkStart w:name="z34" w:id="24"/>
    <w:p>
      <w:pPr>
        <w:spacing w:after="0"/>
        <w:ind w:left="0"/>
        <w:jc w:val="both"/>
      </w:pPr>
      <w:r>
        <w:rPr>
          <w:rFonts w:ascii="Times New Roman"/>
          <w:b w:val="false"/>
          <w:i w:val="false"/>
          <w:color w:val="000000"/>
          <w:sz w:val="28"/>
        </w:rPr>
        <w:t>
      Глава 5. Порядок обращения и начисления жилищной помощи";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xml:space="preserve">
      "18.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и (или) посредством веб-портала "электронного правительства" с предоставлением документов согласно </w:t>
      </w:r>
      <w:r>
        <w:rPr>
          <w:rFonts w:ascii="Times New Roman"/>
          <w:b w:val="false"/>
          <w:i w:val="false"/>
          <w:color w:val="000000"/>
          <w:sz w:val="28"/>
        </w:rPr>
        <w:t>пункту 4</w:t>
      </w:r>
      <w:r>
        <w:rPr>
          <w:rFonts w:ascii="Times New Roman"/>
          <w:b w:val="false"/>
          <w:i w:val="false"/>
          <w:color w:val="000000"/>
          <w:sz w:val="28"/>
        </w:rPr>
        <w:t xml:space="preserve"> Правил жилищной помощи.</w:t>
      </w:r>
    </w:p>
    <w:bookmarkEnd w:id="25"/>
    <w:bookmarkStart w:name="z37" w:id="26"/>
    <w:p>
      <w:pPr>
        <w:spacing w:after="0"/>
        <w:ind w:left="0"/>
        <w:jc w:val="both"/>
      </w:pPr>
      <w:r>
        <w:rPr>
          <w:rFonts w:ascii="Times New Roman"/>
          <w:b w:val="false"/>
          <w:i w:val="false"/>
          <w:color w:val="000000"/>
          <w:sz w:val="28"/>
        </w:rPr>
        <w:t xml:space="preserve">
      При повторном обращении малообеспеченная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w:t>
      </w:r>
      <w:r>
        <w:rPr>
          <w:rFonts w:ascii="Times New Roman"/>
          <w:b w:val="false"/>
          <w:i w:val="false"/>
          <w:color w:val="000000"/>
          <w:sz w:val="28"/>
        </w:rPr>
        <w:t>пунктом 18-5</w:t>
      </w:r>
      <w:r>
        <w:rPr>
          <w:rFonts w:ascii="Times New Roman"/>
          <w:b w:val="false"/>
          <w:i w:val="false"/>
          <w:color w:val="000000"/>
          <w:sz w:val="28"/>
        </w:rPr>
        <w:t xml:space="preserve"> настоящих Правил.";</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исключить.</w:t>
      </w:r>
    </w:p>
    <w:bookmarkStart w:name="z39" w:id="27"/>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города Сарани Оспанова Ералы Сериковича и постоянную комиссию Саранского городского маслихата по вопросам законности, охране прав граждан и развитию социальной сферы.</w:t>
      </w:r>
    </w:p>
    <w:bookmarkEnd w:id="27"/>
    <w:bookmarkStart w:name="z40" w:id="2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