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dd6a" w14:textId="0e1d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Актобинскому, Алгинскому, Жанажолскому, Ески-Шускому, Коккайнарскому, Аксускому, Бирликустемскому, Жанакогамскому, Далакайнарскому, Дулатскому сельских округов Шуского района на 2020-2021 годы</w:t>
      </w:r>
    </w:p>
    <w:p>
      <w:pPr>
        <w:spacing w:after="0"/>
        <w:ind w:left="0"/>
        <w:jc w:val="both"/>
      </w:pPr>
      <w:r>
        <w:rPr>
          <w:rFonts w:ascii="Times New Roman"/>
          <w:b w:val="false"/>
          <w:i w:val="false"/>
          <w:color w:val="000000"/>
          <w:sz w:val="28"/>
        </w:rPr>
        <w:t>Решение Шуского районного маслихата Жамбылской области от 22 декабря 2020 года № 77-6. Зарегистрировано Департаментом юстиции Жамбылской области 25 декабря 2020 года № 4853</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Шуский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Актобинскому, Алгинскому, Жанажолскому, Ески-Шускому, Коккайнарскому, Аксускому, Бирликустемскому, Жанакогамскому, Далакайнарскому, Дулатскому сельских округов Шуского района на 2020-2021 годы.</w:t>
      </w:r>
    </w:p>
    <w:bookmarkEnd w:id="1"/>
    <w:bookmarkStart w:name="z9"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Шуского районного маслихата по вопросам развития экономики, финансов, бюджета, налога, развитию местного самоуправления, охраны общественного порядка, природопользования, совершенствования отраслей промышленности, строительство, транспорта, связи, энергетики, рассмотрения проектов договоров о приобретение сельского хозяйства и предпринимательства, земельного участка или иной недвижимости.</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Шуского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Шуского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22 декабря 2020 года № 77-6</w:t>
            </w:r>
          </w:p>
        </w:tc>
      </w:tr>
    </w:tbl>
    <w:bookmarkStart w:name="z16" w:id="4"/>
    <w:p>
      <w:pPr>
        <w:spacing w:after="0"/>
        <w:ind w:left="0"/>
        <w:jc w:val="left"/>
      </w:pPr>
      <w:r>
        <w:rPr>
          <w:rFonts w:ascii="Times New Roman"/>
          <w:b/>
          <w:i w:val="false"/>
          <w:color w:val="000000"/>
        </w:rPr>
        <w:t xml:space="preserve"> План по управлению пастбищами и их использованию по Шускому району на 2020 - 2021 годы</w:t>
      </w:r>
    </w:p>
    <w:bookmarkEnd w:id="4"/>
    <w:bookmarkStart w:name="z17" w:id="5"/>
    <w:p>
      <w:pPr>
        <w:spacing w:after="0"/>
        <w:ind w:left="0"/>
        <w:jc w:val="both"/>
      </w:pPr>
      <w:r>
        <w:rPr>
          <w:rFonts w:ascii="Times New Roman"/>
          <w:b w:val="false"/>
          <w:i w:val="false"/>
          <w:color w:val="000000"/>
          <w:sz w:val="28"/>
        </w:rPr>
        <w:t>
      1. Настоящий план по управлению пастбищами и их использованию по Шускому району на 2020 - 2021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от 24 апреля 2017 года № 173 "Об утверждении правил рационального использования пастбищ" , Разработан в соответствии с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Об утверждении предельно допустимых норм нагрузки на общую площадь пастбищ".</w:t>
      </w:r>
    </w:p>
    <w:bookmarkEnd w:id="5"/>
    <w:bookmarkStart w:name="z18" w:id="6"/>
    <w:p>
      <w:pPr>
        <w:spacing w:after="0"/>
        <w:ind w:left="0"/>
        <w:jc w:val="both"/>
      </w:pPr>
      <w:r>
        <w:rPr>
          <w:rFonts w:ascii="Times New Roman"/>
          <w:b w:val="false"/>
          <w:i w:val="false"/>
          <w:color w:val="000000"/>
          <w:sz w:val="28"/>
        </w:rPr>
        <w:t>
      2. План содержит сведения о состоянии геоботанического обследования пастбищ, сведения о ветеринарно-санитарных объектах, данные о численности поголовья сельскохозяйственных животных с указанием владельцев-пастбищепользователей, физических и (или) юридических лиц, данные о численности стада, отары, стада,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приняты с учетом особенностей выпаса сельскохозяйственных животных на прививочных и аридных пастбищах, сведений о сервитутах на перегон скота, иных данных, предоставленных государственными органами, физическими и (или) юридическими лицами.</w:t>
      </w:r>
    </w:p>
    <w:bookmarkEnd w:id="6"/>
    <w:bookmarkStart w:name="z19" w:id="7"/>
    <w:p>
      <w:pPr>
        <w:spacing w:after="0"/>
        <w:ind w:left="0"/>
        <w:jc w:val="both"/>
      </w:pPr>
      <w:r>
        <w:rPr>
          <w:rFonts w:ascii="Times New Roman"/>
          <w:b w:val="false"/>
          <w:i w:val="false"/>
          <w:color w:val="000000"/>
          <w:sz w:val="28"/>
        </w:rPr>
        <w:t>
      3. План по управлению пастбищами и их использованию принят в целях рационального использования пастбищ, устойчивого обеспечения потребности в кормах и сене и предупреждения процессов уничтожения пастбищ.</w:t>
      </w:r>
    </w:p>
    <w:bookmarkEnd w:id="7"/>
    <w:bookmarkStart w:name="z20" w:id="8"/>
    <w:p>
      <w:pPr>
        <w:spacing w:after="0"/>
        <w:ind w:left="0"/>
        <w:jc w:val="both"/>
      </w:pPr>
      <w:r>
        <w:rPr>
          <w:rFonts w:ascii="Times New Roman"/>
          <w:b w:val="false"/>
          <w:i w:val="false"/>
          <w:color w:val="000000"/>
          <w:sz w:val="28"/>
        </w:rPr>
        <w:t>
      4. Содержание плана:</w:t>
      </w:r>
    </w:p>
    <w:bookmarkEnd w:id="8"/>
    <w:bookmarkStart w:name="z21" w:id="9"/>
    <w:p>
      <w:pPr>
        <w:spacing w:after="0"/>
        <w:ind w:left="0"/>
        <w:jc w:val="both"/>
      </w:pPr>
      <w:r>
        <w:rPr>
          <w:rFonts w:ascii="Times New Roman"/>
          <w:b w:val="false"/>
          <w:i w:val="false"/>
          <w:color w:val="000000"/>
          <w:sz w:val="28"/>
        </w:rPr>
        <w:t xml:space="preserve">
      1) схема (карта) расположения пастбищ на территории Шуского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9"/>
    <w:bookmarkStart w:name="z22" w:id="10"/>
    <w:p>
      <w:pPr>
        <w:spacing w:after="0"/>
        <w:ind w:left="0"/>
        <w:jc w:val="both"/>
      </w:pPr>
      <w:r>
        <w:rPr>
          <w:rFonts w:ascii="Times New Roman"/>
          <w:b w:val="false"/>
          <w:i w:val="false"/>
          <w:color w:val="000000"/>
          <w:sz w:val="28"/>
        </w:rPr>
        <w:t xml:space="preserve">
      2) приемлемые схемы пастбищеоборотов на территории Шуского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23" w:id="11"/>
    <w:p>
      <w:pPr>
        <w:spacing w:after="0"/>
        <w:ind w:left="0"/>
        <w:jc w:val="both"/>
      </w:pPr>
      <w:r>
        <w:rPr>
          <w:rFonts w:ascii="Times New Roman"/>
          <w:b w:val="false"/>
          <w:i w:val="false"/>
          <w:color w:val="000000"/>
          <w:sz w:val="28"/>
        </w:rPr>
        <w:t xml:space="preserve">
      3) карта с обозначением внешних и внутренних границ и площадей пастбищ, в том числе сезонных пастбищ Шуского района,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24" w:id="12"/>
    <w:p>
      <w:pPr>
        <w:spacing w:after="0"/>
        <w:ind w:left="0"/>
        <w:jc w:val="both"/>
      </w:pPr>
      <w:r>
        <w:rPr>
          <w:rFonts w:ascii="Times New Roman"/>
          <w:b w:val="false"/>
          <w:i w:val="false"/>
          <w:color w:val="000000"/>
          <w:sz w:val="28"/>
        </w:rPr>
        <w:t xml:space="preserve">
      4) схему доступа к водоисточникам (озерам, рекам, прудам, катастрофам, оросительным или обводнительным каналам, трубчатым или шахтным колодцам), составленную в соответствии с нормами водопотребления пастбище пользователей на территории Шуского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5" w:id="13"/>
    <w:p>
      <w:pPr>
        <w:spacing w:after="0"/>
        <w:ind w:left="0"/>
        <w:jc w:val="both"/>
      </w:pPr>
      <w:r>
        <w:rPr>
          <w:rFonts w:ascii="Times New Roman"/>
          <w:b w:val="false"/>
          <w:i w:val="false"/>
          <w:color w:val="000000"/>
          <w:sz w:val="28"/>
        </w:rPr>
        <w:t xml:space="preserve">
      5) схема перераспределения пастбищ для размещения поголовья сельскохозяйственных животных физических и (или) юридических лиц, не имеющих пастбищ на территории Шуского района, и перевода их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6" w:id="14"/>
    <w:p>
      <w:pPr>
        <w:spacing w:after="0"/>
        <w:ind w:left="0"/>
        <w:jc w:val="both"/>
      </w:pPr>
      <w:r>
        <w:rPr>
          <w:rFonts w:ascii="Times New Roman"/>
          <w:b w:val="false"/>
          <w:i w:val="false"/>
          <w:color w:val="000000"/>
          <w:sz w:val="28"/>
        </w:rPr>
        <w:t xml:space="preserve">
      6) Схема размещения поголовья сельскохозяйственных животных физических и (или) юридических лиц, не обеспеченных пастбищами, расположенными вблизи сельского округа на территории Шуского района, на отгонных пастбищах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7"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перегона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8" w:id="16"/>
    <w:p>
      <w:pPr>
        <w:spacing w:after="0"/>
        <w:ind w:left="0"/>
        <w:jc w:val="both"/>
      </w:pPr>
      <w:r>
        <w:rPr>
          <w:rFonts w:ascii="Times New Roman"/>
          <w:b w:val="false"/>
          <w:i w:val="false"/>
          <w:color w:val="000000"/>
          <w:sz w:val="28"/>
        </w:rPr>
        <w:t>
      8) залегание различных климатических глубин, формирующих верхний слой почвы, рельеф почвы.</w:t>
      </w:r>
    </w:p>
    <w:bookmarkEnd w:id="16"/>
    <w:bookmarkStart w:name="z29" w:id="17"/>
    <w:p>
      <w:pPr>
        <w:spacing w:after="0"/>
        <w:ind w:left="0"/>
        <w:jc w:val="both"/>
      </w:pPr>
      <w:r>
        <w:rPr>
          <w:rFonts w:ascii="Times New Roman"/>
          <w:b w:val="false"/>
          <w:i w:val="false"/>
          <w:color w:val="000000"/>
          <w:sz w:val="28"/>
        </w:rPr>
        <w:t xml:space="preserve">
      9) территория района относится к Восточно-Сибирской низменности с равномерно гладкой поверхностью, легко волнистой, без отстойников, полна озер с многочисленными впадинами. Особенностью рельефа считаются степные пластинки, подходящие для садоводства, часто разбросанные вокруг кустарников, каратальских и тополиных деревьев или лугов и болот. Природные условия Шуйского района, в том числе климат, почва и рельеф, идеально подходят для возделывания зерновых и кормовых культур. Можно использовать для получения естественных плодородных земель, пастбищных кормов и сена. </w:t>
      </w:r>
    </w:p>
    <w:bookmarkEnd w:id="17"/>
    <w:bookmarkStart w:name="z30" w:id="18"/>
    <w:p>
      <w:pPr>
        <w:spacing w:after="0"/>
        <w:ind w:left="0"/>
        <w:jc w:val="both"/>
      </w:pPr>
      <w:r>
        <w:rPr>
          <w:rFonts w:ascii="Times New Roman"/>
          <w:b w:val="false"/>
          <w:i w:val="false"/>
          <w:color w:val="000000"/>
          <w:sz w:val="28"/>
        </w:rPr>
        <w:t>
      5. Рельеф района удобен для посева и уборки сельскохозяйственных культур, применения современной техники для обработки почвы и идеально подходит для выпаса скота, то есть рельеф не препятствует механической обработке почвы и выращиванию сельскохозяйственных культур.</w:t>
      </w:r>
    </w:p>
    <w:bookmarkEnd w:id="18"/>
    <w:bookmarkStart w:name="z31" w:id="19"/>
    <w:p>
      <w:pPr>
        <w:spacing w:after="0"/>
        <w:ind w:left="0"/>
        <w:jc w:val="both"/>
      </w:pPr>
      <w:r>
        <w:rPr>
          <w:rFonts w:ascii="Times New Roman"/>
          <w:b w:val="false"/>
          <w:i w:val="false"/>
          <w:color w:val="000000"/>
          <w:sz w:val="28"/>
        </w:rPr>
        <w:t>
      1) гидрография района основывается на реке Шу и сгруппированных озерах в неглубоких впадинах, лежащих без течения. В этих впадинах расположены крупные озера: Алтай, Корагаты, Тасоткель, Байкуты, Унгирли, Буланбай, Кокозек, Теректы, озеро Шатыркул, Караколь и другие озера. Большая часть озер имеет небольшую площадь зеркала, поэтому глубина также невелика. Объем воды, площадь зеркала и глубина озера варьируются в зависимости от количества выпавших осадков. Кроме природных источников, на территории Шуского района имеется 29 озер, раскопанные ямы, используемые для водопоя скота.</w:t>
      </w:r>
    </w:p>
    <w:bookmarkEnd w:id="19"/>
    <w:bookmarkStart w:name="z32" w:id="20"/>
    <w:p>
      <w:pPr>
        <w:spacing w:after="0"/>
        <w:ind w:left="0"/>
        <w:jc w:val="both"/>
      </w:pPr>
      <w:r>
        <w:rPr>
          <w:rFonts w:ascii="Times New Roman"/>
          <w:b w:val="false"/>
          <w:i w:val="false"/>
          <w:color w:val="000000"/>
          <w:sz w:val="28"/>
        </w:rPr>
        <w:t>
      Подводя итоги, следует отметить, что оросительные источники полностью удовлетворяют потребности сельскохозяйственных животных в районе.</w:t>
      </w:r>
    </w:p>
    <w:bookmarkEnd w:id="20"/>
    <w:bookmarkStart w:name="z33" w:id="21"/>
    <w:p>
      <w:pPr>
        <w:spacing w:after="0"/>
        <w:ind w:left="0"/>
        <w:jc w:val="both"/>
      </w:pPr>
      <w:r>
        <w:rPr>
          <w:rFonts w:ascii="Times New Roman"/>
          <w:b w:val="false"/>
          <w:i w:val="false"/>
          <w:color w:val="000000"/>
          <w:sz w:val="28"/>
        </w:rPr>
        <w:t>
      2) массив землепользования района расположен в зоне засушливых земель. В основном распространены, полынь, жантак, засоленная трава, камыш, тростник, кустарниковая растительность и другие. Сено находится в умеренных условиях на пастбищах. Территория естественной растительности, рассматриваемая для выпаса скота, распространена по всем границам района.</w:t>
      </w:r>
    </w:p>
    <w:bookmarkEnd w:id="21"/>
    <w:bookmarkStart w:name="z34" w:id="22"/>
    <w:p>
      <w:pPr>
        <w:spacing w:after="0"/>
        <w:ind w:left="0"/>
        <w:jc w:val="both"/>
      </w:pPr>
      <w:r>
        <w:rPr>
          <w:rFonts w:ascii="Times New Roman"/>
          <w:b w:val="false"/>
          <w:i w:val="false"/>
          <w:color w:val="000000"/>
          <w:sz w:val="28"/>
        </w:rPr>
        <w:t>
      3) пастбищные угодья представлены преимущественно селеулезно-ковыльно-полынным, ковыльно-полынным, злаково-полынно-ковыльным, пшенично-дерново - злаково-злаково-тростниковым комплексно связанными сообществами.</w:t>
      </w:r>
    </w:p>
    <w:bookmarkEnd w:id="22"/>
    <w:bookmarkStart w:name="z35" w:id="23"/>
    <w:p>
      <w:pPr>
        <w:spacing w:after="0"/>
        <w:ind w:left="0"/>
        <w:jc w:val="both"/>
      </w:pPr>
      <w:r>
        <w:rPr>
          <w:rFonts w:ascii="Times New Roman"/>
          <w:b w:val="false"/>
          <w:i w:val="false"/>
          <w:color w:val="000000"/>
          <w:sz w:val="28"/>
        </w:rPr>
        <w:t>
      4) пастбище полностью основано на выпасе сельскохозяйственных животных, вследствие неравномерного использования пастбищ, растительном слое встречаются разнотравья. Это приводит к уменьшению естественных трав, снижению плодородия пастбищ. Срок их применения уменьшается. В связи с этим необходимо скорректировать режим периодических пастбищ, уменьшить площадь пастбищ скота на одну единицу, а местами посеять многолетние травы. Ниже приведена схема шестистолового пастбищеоборота на естественных пастбищах.</w:t>
      </w:r>
    </w:p>
    <w:bookmarkEnd w:id="23"/>
    <w:bookmarkStart w:name="z36" w:id="24"/>
    <w:p>
      <w:pPr>
        <w:spacing w:after="0"/>
        <w:ind w:left="0"/>
        <w:jc w:val="both"/>
      </w:pPr>
      <w:r>
        <w:rPr>
          <w:rFonts w:ascii="Times New Roman"/>
          <w:b w:val="false"/>
          <w:i w:val="false"/>
          <w:color w:val="000000"/>
          <w:sz w:val="28"/>
        </w:rPr>
        <w:t>
      5) для определения продуктивности пастбищ были использованы данные геоботанических исследований специалистов Республиканского государственного предприятия "НПЦ Госзем" за 1980-2012 годы. Средняя урожайность сухой массы пастбищ составляет 3,3 центнера с гектара, в пересчете на размер кормов -1,5 центнера / гектар. Подводя итог, можно рассчитать вес субпродуктов в кормовых единицах на площади:1,5*224 956 гектар=337434 центнера кормовых единиц.</w:t>
      </w:r>
    </w:p>
    <w:bookmarkEnd w:id="24"/>
    <w:bookmarkStart w:name="z37" w:id="25"/>
    <w:p>
      <w:pPr>
        <w:spacing w:after="0"/>
        <w:ind w:left="0"/>
        <w:jc w:val="both"/>
      </w:pPr>
      <w:r>
        <w:rPr>
          <w:rFonts w:ascii="Times New Roman"/>
          <w:b w:val="false"/>
          <w:i w:val="false"/>
          <w:color w:val="000000"/>
          <w:sz w:val="28"/>
        </w:rPr>
        <w:t>
      6) запасные корма на пастбищах используются в пастбищный период, продолжающийся 180-200 дней. Запасные корма из скошенной травы и искусственной скошенной травы используются в период зимовки.</w:t>
      </w:r>
    </w:p>
    <w:bookmarkEnd w:id="25"/>
    <w:bookmarkStart w:name="z38" w:id="26"/>
    <w:p>
      <w:pPr>
        <w:spacing w:after="0"/>
        <w:ind w:left="0"/>
        <w:jc w:val="both"/>
      </w:pPr>
      <w:r>
        <w:rPr>
          <w:rFonts w:ascii="Times New Roman"/>
          <w:b w:val="false"/>
          <w:i w:val="false"/>
          <w:color w:val="000000"/>
          <w:sz w:val="28"/>
        </w:rPr>
        <w:t>
      7) определение пастбищной емкости проводилось на основе данных о ее продуктивности в пастбищный период. В среднем получены следующие нормы зеленого корма (в среднем на одну голову): крупный рогатый скот - 4 килограмма, мелкий рогатый скот - 2 килограмма, лошади - 6 килограммов. Продолжительность пастбищного периода 180-200 дней. Таким образом, зная продуктивность пастбищ, объем потребности скота в зеленых кормах в сутки, продолжительность пастбищного периода, можно определить емкость пастбища. Средняя продуктивность пастбищ 3,3 центнера сухой массы с гектара, продолжительность выпаса 180 дней, на одну голову крупного рогатого скота требуется 4 килограмма зеленого корма в день, следовательно, на весь период выпаса требуется 4*180=720 килограммов или 7,2 центнера.</w:t>
      </w:r>
    </w:p>
    <w:bookmarkEnd w:id="26"/>
    <w:bookmarkStart w:name="z39" w:id="27"/>
    <w:p>
      <w:pPr>
        <w:spacing w:after="0"/>
        <w:ind w:left="0"/>
        <w:jc w:val="both"/>
      </w:pPr>
      <w:r>
        <w:rPr>
          <w:rFonts w:ascii="Times New Roman"/>
          <w:b w:val="false"/>
          <w:i w:val="false"/>
          <w:color w:val="000000"/>
          <w:sz w:val="28"/>
        </w:rPr>
        <w:t>
      6. Шуский район-административное деление на юго-восток Жамбылской области. Основан в 1939 году. Общая площадь района составляет 1203030 гектаров. Численность населения 98000 человек. На территории района 36 населенных пунктов объединены в 18 сельских округов и город Шу. Районный центр С. Толе би, расстояние от областного центра 270 километров.</w:t>
      </w:r>
    </w:p>
    <w:bookmarkEnd w:id="27"/>
    <w:bookmarkStart w:name="z40" w:id="28"/>
    <w:p>
      <w:pPr>
        <w:spacing w:after="0"/>
        <w:ind w:left="0"/>
        <w:jc w:val="both"/>
      </w:pPr>
      <w:r>
        <w:rPr>
          <w:rFonts w:ascii="Times New Roman"/>
          <w:b w:val="false"/>
          <w:i w:val="false"/>
          <w:color w:val="000000"/>
          <w:sz w:val="28"/>
        </w:rPr>
        <w:t>
      1) Территория Шуского района расположена в четырех агроклиматических зонах, северная часть района находится в зоне очень сухих и жарких пустынь (Мойынкумские пески), центральная часть сухая и жаркая, южная часть в зоне очень сухих предгорий.</w:t>
      </w:r>
    </w:p>
    <w:bookmarkEnd w:id="28"/>
    <w:bookmarkStart w:name="z41" w:id="29"/>
    <w:p>
      <w:pPr>
        <w:spacing w:after="0"/>
        <w:ind w:left="0"/>
        <w:jc w:val="both"/>
      </w:pPr>
      <w:r>
        <w:rPr>
          <w:rFonts w:ascii="Times New Roman"/>
          <w:b w:val="false"/>
          <w:i w:val="false"/>
          <w:color w:val="000000"/>
          <w:sz w:val="28"/>
        </w:rPr>
        <w:t>
      2) климат района континентальный, воздух сухой, влажность воздуха небольшая, зима достаточно холодная и короткая, лето жаркое и засушливое.</w:t>
      </w:r>
    </w:p>
    <w:bookmarkEnd w:id="29"/>
    <w:bookmarkStart w:name="z42" w:id="30"/>
    <w:p>
      <w:pPr>
        <w:spacing w:after="0"/>
        <w:ind w:left="0"/>
        <w:jc w:val="both"/>
      </w:pPr>
      <w:r>
        <w:rPr>
          <w:rFonts w:ascii="Times New Roman"/>
          <w:b w:val="false"/>
          <w:i w:val="false"/>
          <w:color w:val="000000"/>
          <w:sz w:val="28"/>
        </w:rPr>
        <w:t>
      7. Общая площадь земель района составляет 1203030,0 гектар в том числе пастбищ – 923519,0 гектар.</w:t>
      </w:r>
    </w:p>
    <w:bookmarkEnd w:id="30"/>
    <w:bookmarkStart w:name="z43" w:id="31"/>
    <w:p>
      <w:pPr>
        <w:spacing w:after="0"/>
        <w:ind w:left="0"/>
        <w:jc w:val="both"/>
      </w:pPr>
      <w:r>
        <w:rPr>
          <w:rFonts w:ascii="Times New Roman"/>
          <w:b w:val="false"/>
          <w:i w:val="false"/>
          <w:color w:val="000000"/>
          <w:sz w:val="28"/>
        </w:rPr>
        <w:t>
      По категориям земли распределяются согласованно:</w:t>
      </w:r>
    </w:p>
    <w:bookmarkEnd w:id="31"/>
    <w:bookmarkStart w:name="z44" w:id="32"/>
    <w:p>
      <w:pPr>
        <w:spacing w:after="0"/>
        <w:ind w:left="0"/>
        <w:jc w:val="both"/>
      </w:pPr>
      <w:r>
        <w:rPr>
          <w:rFonts w:ascii="Times New Roman"/>
          <w:b w:val="false"/>
          <w:i w:val="false"/>
          <w:color w:val="000000"/>
          <w:sz w:val="28"/>
        </w:rPr>
        <w:t>
      земли сельскохозяйственного назначения - 441298,7 гектар;</w:t>
      </w:r>
    </w:p>
    <w:bookmarkEnd w:id="32"/>
    <w:bookmarkStart w:name="z45" w:id="33"/>
    <w:p>
      <w:pPr>
        <w:spacing w:after="0"/>
        <w:ind w:left="0"/>
        <w:jc w:val="both"/>
      </w:pPr>
      <w:r>
        <w:rPr>
          <w:rFonts w:ascii="Times New Roman"/>
          <w:b w:val="false"/>
          <w:i w:val="false"/>
          <w:color w:val="000000"/>
          <w:sz w:val="28"/>
        </w:rPr>
        <w:t>
      земли населенных пунктов-50502,0 гектар;</w:t>
      </w:r>
    </w:p>
    <w:bookmarkEnd w:id="33"/>
    <w:bookmarkStart w:name="z46" w:id="34"/>
    <w:p>
      <w:pPr>
        <w:spacing w:after="0"/>
        <w:ind w:left="0"/>
        <w:jc w:val="both"/>
      </w:pPr>
      <w:r>
        <w:rPr>
          <w:rFonts w:ascii="Times New Roman"/>
          <w:b w:val="false"/>
          <w:i w:val="false"/>
          <w:color w:val="000000"/>
          <w:sz w:val="28"/>
        </w:rPr>
        <w:t>
      земли для нужд промышленности, транспорта, связи, космической деятельности, обороны, национальной безопасности и иного несельскохозяйственного назначения-12733,0 гектар;</w:t>
      </w:r>
    </w:p>
    <w:bookmarkEnd w:id="34"/>
    <w:bookmarkStart w:name="z47" w:id="35"/>
    <w:p>
      <w:pPr>
        <w:spacing w:after="0"/>
        <w:ind w:left="0"/>
        <w:jc w:val="both"/>
      </w:pPr>
      <w:r>
        <w:rPr>
          <w:rFonts w:ascii="Times New Roman"/>
          <w:b w:val="false"/>
          <w:i w:val="false"/>
          <w:color w:val="000000"/>
          <w:sz w:val="28"/>
        </w:rPr>
        <w:t>
      земли лесного фонда-294914,0 гектар;</w:t>
      </w:r>
    </w:p>
    <w:bookmarkEnd w:id="35"/>
    <w:bookmarkStart w:name="z48" w:id="36"/>
    <w:p>
      <w:pPr>
        <w:spacing w:after="0"/>
        <w:ind w:left="0"/>
        <w:jc w:val="both"/>
      </w:pPr>
      <w:r>
        <w:rPr>
          <w:rFonts w:ascii="Times New Roman"/>
          <w:b w:val="false"/>
          <w:i w:val="false"/>
          <w:color w:val="000000"/>
          <w:sz w:val="28"/>
        </w:rPr>
        <w:t>
      земли водного фонда-11768,09 гектар;</w:t>
      </w:r>
    </w:p>
    <w:bookmarkEnd w:id="36"/>
    <w:bookmarkStart w:name="z49" w:id="37"/>
    <w:p>
      <w:pPr>
        <w:spacing w:after="0"/>
        <w:ind w:left="0"/>
        <w:jc w:val="both"/>
      </w:pPr>
      <w:r>
        <w:rPr>
          <w:rFonts w:ascii="Times New Roman"/>
          <w:b w:val="false"/>
          <w:i w:val="false"/>
          <w:color w:val="000000"/>
          <w:sz w:val="28"/>
        </w:rPr>
        <w:t>
      земли запаса - 144955,18 гектар.</w:t>
      </w:r>
    </w:p>
    <w:bookmarkEnd w:id="37"/>
    <w:bookmarkStart w:name="z50" w:id="38"/>
    <w:p>
      <w:pPr>
        <w:spacing w:after="0"/>
        <w:ind w:left="0"/>
        <w:jc w:val="both"/>
      </w:pPr>
      <w:r>
        <w:rPr>
          <w:rFonts w:ascii="Times New Roman"/>
          <w:b w:val="false"/>
          <w:i w:val="false"/>
          <w:color w:val="000000"/>
          <w:sz w:val="28"/>
        </w:rPr>
        <w:t>
      8. Основными пользователями пастбищ на территории района являются сельскохозяйственные структуры. Животные в населенных пунктах содержатся в местах назначения.</w:t>
      </w:r>
    </w:p>
    <w:bookmarkEnd w:id="38"/>
    <w:bookmarkStart w:name="z51" w:id="39"/>
    <w:p>
      <w:pPr>
        <w:spacing w:after="0"/>
        <w:ind w:left="0"/>
        <w:jc w:val="both"/>
      </w:pPr>
      <w:r>
        <w:rPr>
          <w:rFonts w:ascii="Times New Roman"/>
          <w:b w:val="false"/>
          <w:i w:val="false"/>
          <w:color w:val="000000"/>
          <w:sz w:val="28"/>
        </w:rPr>
        <w:t>
      9. Численность поголовья сельскохозяйственных животных на территории района составляет: 22720 голов крупного рогатого скота, 222983 голов овец и коз, 9778 лошадей, 68 верблюдов.</w:t>
      </w:r>
    </w:p>
    <w:bookmarkEnd w:id="39"/>
    <w:bookmarkStart w:name="z52" w:id="40"/>
    <w:p>
      <w:pPr>
        <w:spacing w:after="0"/>
        <w:ind w:left="0"/>
        <w:jc w:val="both"/>
      </w:pPr>
      <w:r>
        <w:rPr>
          <w:rFonts w:ascii="Times New Roman"/>
          <w:b w:val="false"/>
          <w:i w:val="false"/>
          <w:color w:val="000000"/>
          <w:sz w:val="28"/>
        </w:rPr>
        <w:t>
      10. На территории района функционируют 64 ветеринарно-санитарных объекта, в том числе 14 скотомогильников, ветеринарных пунктов 19, убойных площадок 8, постоянных инсинераторов 2, скотомогильников с ямами "Беккари" 21,</w:t>
      </w:r>
    </w:p>
    <w:bookmarkEnd w:id="40"/>
    <w:bookmarkStart w:name="z53" w:id="41"/>
    <w:p>
      <w:pPr>
        <w:spacing w:after="0"/>
        <w:ind w:left="0"/>
        <w:jc w:val="both"/>
      </w:pPr>
      <w:r>
        <w:rPr>
          <w:rFonts w:ascii="Times New Roman"/>
          <w:b w:val="false"/>
          <w:i w:val="false"/>
          <w:color w:val="000000"/>
          <w:sz w:val="28"/>
        </w:rPr>
        <w:t>
      11. По Шускому району имеются сервитуты для перегона скота, всего сервитутов для перегона скота 13362 гектара, в том числе:</w:t>
      </w:r>
    </w:p>
    <w:bookmarkEnd w:id="41"/>
    <w:bookmarkStart w:name="z54" w:id="42"/>
    <w:p>
      <w:pPr>
        <w:spacing w:after="0"/>
        <w:ind w:left="0"/>
        <w:jc w:val="both"/>
      </w:pPr>
      <w:r>
        <w:rPr>
          <w:rFonts w:ascii="Times New Roman"/>
          <w:b w:val="false"/>
          <w:i w:val="false"/>
          <w:color w:val="000000"/>
          <w:sz w:val="28"/>
        </w:rPr>
        <w:t>
      Кунаевский сельский округ 3252 гектара, Бирликский сельский округ 930 гектар, Жанакогамский сельский округ 1343 гектара, Толебийский сельский округ 6973 гектара, Алгинский сельский округ 864 гектара.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пастбищами</w:t>
            </w:r>
            <w:r>
              <w:rPr>
                <w:rFonts w:ascii="Times New Roman"/>
                <w:b w:val="false"/>
                <w:i w:val="false"/>
                <w:color w:val="000000"/>
                <w:sz w:val="20"/>
              </w:rPr>
              <w:t xml:space="preserve">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w:t>
            </w:r>
            <w:r>
              <w:rPr>
                <w:rFonts w:ascii="Times New Roman"/>
                <w:b w:val="false"/>
                <w:i w:val="false"/>
                <w:color w:val="000000"/>
                <w:sz w:val="20"/>
              </w:rPr>
              <w:t xml:space="preserve"> на 2020 - 2021 годы</w:t>
            </w:r>
          </w:p>
        </w:tc>
      </w:tr>
    </w:tbl>
    <w:bookmarkStart w:name="z59" w:id="43"/>
    <w:p>
      <w:pPr>
        <w:spacing w:after="0"/>
        <w:ind w:left="0"/>
        <w:jc w:val="left"/>
      </w:pPr>
      <w:r>
        <w:rPr>
          <w:rFonts w:ascii="Times New Roman"/>
          <w:b/>
          <w:i w:val="false"/>
          <w:color w:val="000000"/>
        </w:rPr>
        <w:t xml:space="preserve"> Схема (карта) расположения пастбищ на территории Шуского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43"/>
    <w:bookmarkStart w:name="z6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 на 2020 - 2021 годы</w:t>
            </w:r>
          </w:p>
        </w:tc>
      </w:tr>
    </w:tbl>
    <w:p>
      <w:pPr>
        <w:spacing w:after="0"/>
        <w:ind w:left="0"/>
        <w:jc w:val="left"/>
      </w:pPr>
      <w:r>
        <w:rPr>
          <w:rFonts w:ascii="Times New Roman"/>
          <w:b/>
          <w:i w:val="false"/>
          <w:color w:val="000000"/>
        </w:rPr>
        <w:t xml:space="preserve"> Приемлемые схемы пастбище оборотов на территории Шуского района</w:t>
      </w:r>
    </w:p>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 на 2020 - 2021 годы</w:t>
            </w:r>
          </w:p>
        </w:tc>
      </w:tr>
    </w:tbl>
    <w:p>
      <w:pPr>
        <w:spacing w:after="0"/>
        <w:ind w:left="0"/>
        <w:jc w:val="left"/>
      </w:pPr>
      <w:r>
        <w:rPr>
          <w:rFonts w:ascii="Times New Roman"/>
          <w:b/>
          <w:i w:val="false"/>
          <w:color w:val="000000"/>
        </w:rPr>
        <w:t xml:space="preserve"> Карта Шуского района с обозначением внешних и внутренних границ и площадей пастбищ, в том числе сезонных пастбищ, объектов пастбищной инфраструктуры</w:t>
      </w:r>
    </w:p>
    <w:bookmarkStart w:name="z7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 на 2020 - 2021 годы</w:t>
            </w:r>
          </w:p>
        </w:tc>
      </w:tr>
    </w:tbl>
    <w:p>
      <w:pPr>
        <w:spacing w:after="0"/>
        <w:ind w:left="0"/>
        <w:jc w:val="left"/>
      </w:pPr>
      <w:r>
        <w:rPr>
          <w:rFonts w:ascii="Times New Roman"/>
          <w:b/>
          <w:i w:val="false"/>
          <w:color w:val="000000"/>
        </w:rPr>
        <w:t xml:space="preserve"> Схема доступа пастбище пользователей на территории Шуского района согласно норме потребления воды составленную к водоисточникам (озерам, рекам, прудам, копаниям, оросительным или обводнительным каналам, трубчатым или шахтным колодцам), </w:t>
      </w:r>
    </w:p>
    <w:bookmarkStart w:name="z7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 на 2020 - 2021 годы</w:t>
            </w:r>
          </w:p>
        </w:tc>
      </w:tr>
    </w:tbl>
    <w:p>
      <w:pPr>
        <w:spacing w:after="0"/>
        <w:ind w:left="0"/>
        <w:jc w:val="left"/>
      </w:pPr>
      <w:r>
        <w:rPr>
          <w:rFonts w:ascii="Times New Roman"/>
          <w:b/>
          <w:i w:val="false"/>
          <w:color w:val="000000"/>
        </w:rPr>
        <w:t xml:space="preserve">  Схема перераспределения пастбищ и перемещения его на предоставляемые пастбища для размещения поголовья сельскохозяйственных животных физических и (или) юридических лиц не имеющих пастбища на территории Шуского района</w:t>
      </w:r>
    </w:p>
    <w:bookmarkStart w:name="z8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 на 2020 - 2021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Шуского района</w:t>
      </w:r>
    </w:p>
    <w:bookmarkStart w:name="z9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по Шускому</w:t>
            </w:r>
            <w:r>
              <w:br/>
            </w:r>
            <w:r>
              <w:rPr>
                <w:rFonts w:ascii="Times New Roman"/>
                <w:b w:val="false"/>
                <w:i w:val="false"/>
                <w:color w:val="000000"/>
                <w:sz w:val="20"/>
              </w:rPr>
              <w:t>району на 2020 - 2021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845"/>
        <w:gridCol w:w="3385"/>
        <w:gridCol w:w="3386"/>
        <w:gridCol w:w="820"/>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выпаса животных на отдаленных пастбищах</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животных с отдаленных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Ески-Шу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Коккайнар</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Бирликустем</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Жанакогам</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Далакайнар</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апреля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