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ae0a5c" w14:textId="bae0a5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Сарысускому району на 2020-2021 годы</w:t>
      </w:r>
    </w:p>
    <w:p>
      <w:pPr>
        <w:spacing w:after="0"/>
        <w:ind w:left="0"/>
        <w:jc w:val="both"/>
      </w:pPr>
      <w:r>
        <w:rPr>
          <w:rFonts w:ascii="Times New Roman"/>
          <w:b w:val="false"/>
          <w:i w:val="false"/>
          <w:color w:val="000000"/>
          <w:sz w:val="28"/>
        </w:rPr>
        <w:t>Решение Сарысуского районного маслихата Жамбылской области от 28 октября 2020 года № 83-10. Зарегистрировано Департаментом юстиции Жамбылской области 6 ноября 2020 года № 4793</w:t>
      </w:r>
    </w:p>
    <w:p>
      <w:pPr>
        <w:spacing w:after="0"/>
        <w:ind w:left="0"/>
        <w:jc w:val="both"/>
      </w:pPr>
      <w:bookmarkStart w:name="z7" w:id="0"/>
      <w:r>
        <w:rPr>
          <w:rFonts w:ascii="Times New Roman"/>
          <w:b w:val="false"/>
          <w:i w:val="false"/>
          <w:color w:val="000000"/>
          <w:sz w:val="28"/>
        </w:rPr>
        <w:t xml:space="preserve">
      В соответствии со </w:t>
      </w:r>
      <w:r>
        <w:rPr>
          <w:rFonts w:ascii="Times New Roman"/>
          <w:b w:val="false"/>
          <w:i w:val="false"/>
          <w:color w:val="000000"/>
          <w:sz w:val="28"/>
        </w:rPr>
        <w:t>cтатьей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Сарысуский районный маслихат РЕШИЛ:</w:t>
      </w:r>
    </w:p>
    <w:bookmarkEnd w:id="0"/>
    <w:bookmarkStart w:name="z8"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по Сарысускому району на 2020-2021 годы.</w:t>
      </w:r>
    </w:p>
    <w:bookmarkEnd w:id="1"/>
    <w:bookmarkStart w:name="z9" w:id="2"/>
    <w:p>
      <w:pPr>
        <w:spacing w:after="0"/>
        <w:ind w:left="0"/>
        <w:jc w:val="both"/>
      </w:pPr>
      <w:r>
        <w:rPr>
          <w:rFonts w:ascii="Times New Roman"/>
          <w:b w:val="false"/>
          <w:i w:val="false"/>
          <w:color w:val="000000"/>
          <w:sz w:val="28"/>
        </w:rPr>
        <w:t>
      2. Контроль за исполнением данного решения возложить на постоянную комиссию районного маслихата по вопросам экономике, финансов, бюджета, агропромышленного комплекса, охраны окружающей среды и природопользования, развития местного самоуправления.</w:t>
      </w:r>
    </w:p>
    <w:bookmarkEnd w:id="2"/>
    <w:bookmarkStart w:name="z10" w:id="3"/>
    <w:p>
      <w:pPr>
        <w:spacing w:after="0"/>
        <w:ind w:left="0"/>
        <w:jc w:val="both"/>
      </w:pPr>
      <w:r>
        <w:rPr>
          <w:rFonts w:ascii="Times New Roman"/>
          <w:b w:val="false"/>
          <w:i w:val="false"/>
          <w:color w:val="000000"/>
          <w:sz w:val="28"/>
        </w:rPr>
        <w:t>
      3.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сессии</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Сарысуского районного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Абишев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Сарысуского районного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Бегеев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Сарысукого районного маслихата</w:t>
            </w:r>
            <w:r>
              <w:br/>
            </w:r>
            <w:r>
              <w:rPr>
                <w:rFonts w:ascii="Times New Roman"/>
                <w:b w:val="false"/>
                <w:i w:val="false"/>
                <w:color w:val="000000"/>
                <w:sz w:val="20"/>
              </w:rPr>
              <w:t>от 28 октября 2020 года № 83-10</w:t>
            </w:r>
          </w:p>
        </w:tc>
      </w:tr>
    </w:tbl>
    <w:bookmarkStart w:name="z16" w:id="4"/>
    <w:p>
      <w:pPr>
        <w:spacing w:after="0"/>
        <w:ind w:left="0"/>
        <w:jc w:val="left"/>
      </w:pPr>
      <w:r>
        <w:rPr>
          <w:rFonts w:ascii="Times New Roman"/>
          <w:b/>
          <w:i w:val="false"/>
          <w:color w:val="000000"/>
        </w:rPr>
        <w:t xml:space="preserve"> План по управлению пастбищами и их использованию по Сарысускому району на 2020-2021 годы</w:t>
      </w:r>
    </w:p>
    <w:bookmarkEnd w:id="4"/>
    <w:bookmarkStart w:name="z17" w:id="5"/>
    <w:p>
      <w:pPr>
        <w:spacing w:after="0"/>
        <w:ind w:left="0"/>
        <w:jc w:val="left"/>
      </w:pPr>
      <w:r>
        <w:rPr>
          <w:rFonts w:ascii="Times New Roman"/>
          <w:b/>
          <w:i w:val="false"/>
          <w:color w:val="000000"/>
        </w:rPr>
        <w:t xml:space="preserve"> Введение</w:t>
      </w:r>
    </w:p>
    <w:bookmarkEnd w:id="5"/>
    <w:bookmarkStart w:name="z18" w:id="6"/>
    <w:p>
      <w:pPr>
        <w:spacing w:after="0"/>
        <w:ind w:left="0"/>
        <w:jc w:val="both"/>
      </w:pPr>
      <w:r>
        <w:rPr>
          <w:rFonts w:ascii="Times New Roman"/>
          <w:b w:val="false"/>
          <w:i w:val="false"/>
          <w:color w:val="000000"/>
          <w:sz w:val="28"/>
        </w:rPr>
        <w:t>
      Сарысуский район-административное деление на западе Жамбылской области. Общая площадь района составляет 3 136 094 гектаров. Численность населения 44 419 человек. На территории района 25 населенных пунктов объединены в 9 сельских округов и город Жанатас. Районный центр-город Жанатас, расстояние от областного центра 180 киломметр.</w:t>
      </w:r>
    </w:p>
    <w:bookmarkEnd w:id="6"/>
    <w:bookmarkStart w:name="z19" w:id="7"/>
    <w:p>
      <w:pPr>
        <w:spacing w:after="0"/>
        <w:ind w:left="0"/>
        <w:jc w:val="both"/>
      </w:pPr>
      <w:r>
        <w:rPr>
          <w:rFonts w:ascii="Times New Roman"/>
          <w:b w:val="false"/>
          <w:i w:val="false"/>
          <w:color w:val="000000"/>
          <w:sz w:val="28"/>
        </w:rPr>
        <w:t>
      Сарысуский район основан в сельскохозяйственном направлении, в последнее время развивается животноводство. Особое место в выполнении задачи полного обеспечения продовольствием страны занимает развитие животноводства, основой которого является рациональное и рациональное использование природных пастбищ.</w:t>
      </w:r>
    </w:p>
    <w:bookmarkEnd w:id="7"/>
    <w:bookmarkStart w:name="z20" w:id="8"/>
    <w:p>
      <w:pPr>
        <w:spacing w:after="0"/>
        <w:ind w:left="0"/>
        <w:jc w:val="both"/>
      </w:pPr>
      <w:r>
        <w:rPr>
          <w:rFonts w:ascii="Times New Roman"/>
          <w:b w:val="false"/>
          <w:i w:val="false"/>
          <w:color w:val="000000"/>
          <w:sz w:val="28"/>
        </w:rPr>
        <w:t>
      Для собственников и землепользователей одной из неотложных мер является осуществление по эффективному использованию пастбищ, предотвращению деградации природных пастбищ и их улучшение.</w:t>
      </w:r>
    </w:p>
    <w:bookmarkEnd w:id="8"/>
    <w:bookmarkStart w:name="z21" w:id="9"/>
    <w:p>
      <w:pPr>
        <w:spacing w:after="0"/>
        <w:ind w:left="0"/>
        <w:jc w:val="both"/>
      </w:pPr>
      <w:r>
        <w:rPr>
          <w:rFonts w:ascii="Times New Roman"/>
          <w:b w:val="false"/>
          <w:i w:val="false"/>
          <w:color w:val="000000"/>
          <w:sz w:val="28"/>
        </w:rPr>
        <w:t>
      В связи с этим на территории района в сельских округах проводится анализ состояния обеспеченности пастбищными землями сельскохозяйственных животных.</w:t>
      </w:r>
    </w:p>
    <w:bookmarkEnd w:id="9"/>
    <w:bookmarkStart w:name="z22" w:id="10"/>
    <w:p>
      <w:pPr>
        <w:spacing w:after="0"/>
        <w:ind w:left="0"/>
        <w:jc w:val="both"/>
      </w:pPr>
      <w:r>
        <w:rPr>
          <w:rFonts w:ascii="Times New Roman"/>
          <w:b w:val="false"/>
          <w:i w:val="false"/>
          <w:color w:val="000000"/>
          <w:sz w:val="28"/>
        </w:rPr>
        <w:t>
      Климат территории района резко континентальный, воздух сухой, влажность воздуха в небольших количествах, зима холодная, лето жаркое.</w:t>
      </w:r>
    </w:p>
    <w:bookmarkEnd w:id="10"/>
    <w:bookmarkStart w:name="z23" w:id="11"/>
    <w:p>
      <w:pPr>
        <w:spacing w:after="0"/>
        <w:ind w:left="0"/>
        <w:jc w:val="both"/>
      </w:pPr>
      <w:r>
        <w:rPr>
          <w:rFonts w:ascii="Times New Roman"/>
          <w:b w:val="false"/>
          <w:i w:val="false"/>
          <w:color w:val="000000"/>
          <w:sz w:val="28"/>
        </w:rPr>
        <w:t>
      На территории района из недр земли добываются гравий и соль.</w:t>
      </w:r>
    </w:p>
    <w:bookmarkEnd w:id="11"/>
    <w:bookmarkStart w:name="z24" w:id="12"/>
    <w:p>
      <w:pPr>
        <w:spacing w:after="0"/>
        <w:ind w:left="0"/>
        <w:jc w:val="both"/>
      </w:pPr>
      <w:r>
        <w:rPr>
          <w:rFonts w:ascii="Times New Roman"/>
          <w:b w:val="false"/>
          <w:i w:val="false"/>
          <w:color w:val="000000"/>
          <w:sz w:val="28"/>
        </w:rPr>
        <w:t>
      Общая площадь сельскохозяйственных земель составляет 675 495 гектаров, в том числе 19 606 гектаров пашни, 123 гектаров многолетних насаждений, 11 546 гектаров сенокосов, 593 847 гектаров пастбищ, 72 470 гектаров земли населенных пунктов, 11 115 гектаров земли промышленности, транспорта, связи, обороны и иного несельскохозяйственного назначения, 1000 гектаров земли особо охраняемых природных территорий, 532 092 гектаров земли лесного фонда, 1788 гектаров земли водного фонда, 883 781 гектаров земли запаса. Земли, используемые другим государством (Российская Федерация) 1 035 000 гектаров.</w:t>
      </w:r>
    </w:p>
    <w:bookmarkEnd w:id="12"/>
    <w:bookmarkStart w:name="z25" w:id="13"/>
    <w:p>
      <w:pPr>
        <w:spacing w:after="0"/>
        <w:ind w:left="0"/>
        <w:jc w:val="both"/>
      </w:pPr>
      <w:r>
        <w:rPr>
          <w:rFonts w:ascii="Times New Roman"/>
          <w:b w:val="false"/>
          <w:i w:val="false"/>
          <w:color w:val="000000"/>
          <w:sz w:val="28"/>
        </w:rPr>
        <w:t>
      Сарысуский район граничит с Мойынкумским и Таласским районами, Карагандинской и Туркестанской областями.</w:t>
      </w:r>
    </w:p>
    <w:bookmarkEnd w:id="13"/>
    <w:bookmarkStart w:name="z26" w:id="14"/>
    <w:p>
      <w:pPr>
        <w:spacing w:after="0"/>
        <w:ind w:left="0"/>
        <w:jc w:val="both"/>
      </w:pPr>
      <w:r>
        <w:rPr>
          <w:rFonts w:ascii="Times New Roman"/>
          <w:b w:val="false"/>
          <w:i w:val="false"/>
          <w:color w:val="000000"/>
          <w:sz w:val="28"/>
        </w:rPr>
        <w:t>
      Цель плана: управление пастбищами и их использование.</w:t>
      </w:r>
    </w:p>
    <w:bookmarkEnd w:id="14"/>
    <w:bookmarkStart w:name="z27" w:id="15"/>
    <w:p>
      <w:pPr>
        <w:spacing w:after="0"/>
        <w:ind w:left="0"/>
        <w:jc w:val="both"/>
      </w:pPr>
      <w:r>
        <w:rPr>
          <w:rFonts w:ascii="Times New Roman"/>
          <w:b w:val="false"/>
          <w:i w:val="false"/>
          <w:color w:val="000000"/>
          <w:sz w:val="28"/>
        </w:rPr>
        <w:t>
      Срок реализации плана: начиная с января 2020 года до конца 2021 года.</w:t>
      </w:r>
    </w:p>
    <w:bookmarkEnd w:id="15"/>
    <w:bookmarkStart w:name="z28" w:id="16"/>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16"/>
    <w:bookmarkStart w:name="z29"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44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18"/>
    <w:p>
      <w:pPr>
        <w:spacing w:after="0"/>
        <w:ind w:left="0"/>
        <w:jc w:val="left"/>
      </w:pPr>
      <w:r>
        <w:rPr>
          <w:rFonts w:ascii="Times New Roman"/>
          <w:b/>
          <w:i w:val="false"/>
          <w:color w:val="000000"/>
        </w:rPr>
        <w:t xml:space="preserve"> Приемлемая схема пастбище оборота</w:t>
      </w:r>
    </w:p>
    <w:bookmarkEnd w:id="18"/>
    <w:bookmarkStart w:name="z31"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0"/>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20"/>
    <w:bookmarkStart w:name="z33"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2"/>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22"/>
    <w:bookmarkStart w:name="z35"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4"/>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24"/>
    <w:bookmarkStart w:name="z37"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6"/>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26"/>
    <w:bookmarkStart w:name="z39"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28"/>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5"/>
        <w:gridCol w:w="2013"/>
        <w:gridCol w:w="3133"/>
        <w:gridCol w:w="3134"/>
        <w:gridCol w:w="895"/>
      </w:tblGrid>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выпаса на отдаленных пастбищах</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возврата с отдаленных пастбищ</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марта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марта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марта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марта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Тогызкент</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марта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Камкалы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марта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марта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Жанаарык</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марта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марта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Жанатас</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половина марта</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декада октября</w:t>
            </w:r>
          </w:p>
        </w:tc>
        <w:tc>
          <w:tcPr>
            <w:tcW w:w="8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1" w:id="29"/>
    <w:p>
      <w:pPr>
        <w:spacing w:after="0"/>
        <w:ind w:left="0"/>
        <w:jc w:val="left"/>
      </w:pPr>
      <w:r>
        <w:rPr>
          <w:rFonts w:ascii="Times New Roman"/>
          <w:b/>
          <w:i w:val="false"/>
          <w:color w:val="000000"/>
        </w:rPr>
        <w:t xml:space="preserve"> Сведения о состоянии геоботанического обследования пастбищ в Сарысуском районе</w:t>
      </w:r>
    </w:p>
    <w:bookmarkEnd w:id="29"/>
    <w:bookmarkStart w:name="z42" w:id="30"/>
    <w:p>
      <w:pPr>
        <w:spacing w:after="0"/>
        <w:ind w:left="0"/>
        <w:jc w:val="left"/>
      </w:pPr>
      <w:r>
        <w:rPr>
          <w:rFonts w:ascii="Times New Roman"/>
          <w:b/>
          <w:i w:val="false"/>
          <w:color w:val="000000"/>
        </w:rPr>
        <w:t xml:space="preserve"> 1. Общая информация</w:t>
      </w:r>
    </w:p>
    <w:bookmarkEnd w:id="30"/>
    <w:bookmarkStart w:name="z43" w:id="31"/>
    <w:p>
      <w:pPr>
        <w:spacing w:after="0"/>
        <w:ind w:left="0"/>
        <w:jc w:val="both"/>
      </w:pPr>
      <w:r>
        <w:rPr>
          <w:rFonts w:ascii="Times New Roman"/>
          <w:b w:val="false"/>
          <w:i w:val="false"/>
          <w:color w:val="000000"/>
          <w:sz w:val="28"/>
        </w:rPr>
        <w:t>
      Территория Сарысуского района расположена в западной части Жамбылской области. Большая часть земель района граничит с плоской, на севере с Карагандинской областью, на юге с Таласским районом, на востоке с Мойынкумским районом, на Западе с Туркестанской областью.</w:t>
      </w:r>
    </w:p>
    <w:bookmarkEnd w:id="31"/>
    <w:bookmarkStart w:name="z44" w:id="32"/>
    <w:p>
      <w:pPr>
        <w:spacing w:after="0"/>
        <w:ind w:left="0"/>
        <w:jc w:val="both"/>
      </w:pPr>
      <w:r>
        <w:rPr>
          <w:rFonts w:ascii="Times New Roman"/>
          <w:b w:val="false"/>
          <w:i w:val="false"/>
          <w:color w:val="000000"/>
          <w:sz w:val="28"/>
        </w:rPr>
        <w:t>
      Основной отраслью сельского хозяйства в районе является земледелие и животноводство. Вместе с мясномолочным животноводством основное направление района является освоение зерновых культур.</w:t>
      </w:r>
    </w:p>
    <w:bookmarkEnd w:id="32"/>
    <w:bookmarkStart w:name="z45" w:id="33"/>
    <w:p>
      <w:pPr>
        <w:spacing w:after="0"/>
        <w:ind w:left="0"/>
        <w:jc w:val="both"/>
      </w:pPr>
      <w:r>
        <w:rPr>
          <w:rFonts w:ascii="Times New Roman"/>
          <w:b w:val="false"/>
          <w:i w:val="false"/>
          <w:color w:val="000000"/>
          <w:sz w:val="28"/>
        </w:rPr>
        <w:t>
      Район находится вблизи областного центра и имеет железнодорожные и автомобильные магистрали, соединяющих его с другими регионами страны.</w:t>
      </w:r>
    </w:p>
    <w:bookmarkEnd w:id="33"/>
    <w:bookmarkStart w:name="z46" w:id="34"/>
    <w:p>
      <w:pPr>
        <w:spacing w:after="0"/>
        <w:ind w:left="0"/>
        <w:jc w:val="left"/>
      </w:pPr>
      <w:r>
        <w:rPr>
          <w:rFonts w:ascii="Times New Roman"/>
          <w:b/>
          <w:i w:val="false"/>
          <w:color w:val="000000"/>
        </w:rPr>
        <w:t xml:space="preserve"> Общие площади земель разделенных по категориям в Сарысуском районе</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6"/>
        <w:gridCol w:w="2341"/>
        <w:gridCol w:w="3547"/>
        <w:gridCol w:w="3548"/>
        <w:gridCol w:w="2138"/>
      </w:tblGrid>
      <w:tr>
        <w:trPr>
          <w:trHeight w:val="30" w:hRule="atLeast"/>
        </w:trPr>
        <w:tc>
          <w:tcPr>
            <w:tcW w:w="7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Категории земель</w:t>
            </w:r>
          </w:p>
        </w:tc>
        <w:tc>
          <w:tcPr>
            <w:tcW w:w="35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пастбище</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пашня</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сельскохозяйственных угодий</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598 848</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595 260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72 470</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65 168</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Земли промышленности, транспорта, обороны, связи и других направлений </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11115</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особо охряняемых территорий</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лесного фонда</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532 092</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441,724</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водного фонда</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запаса</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883 781</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880 995</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2786</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используемые землепользователями других государств</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1 035 000</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3 136 094</w:t>
            </w:r>
          </w:p>
        </w:tc>
        <w:tc>
          <w:tcPr>
            <w:tcW w:w="3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1 984 240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6 791</w:t>
            </w:r>
          </w:p>
        </w:tc>
      </w:tr>
    </w:tbl>
    <w:bookmarkStart w:name="z47" w:id="35"/>
    <w:p>
      <w:pPr>
        <w:spacing w:after="0"/>
        <w:ind w:left="0"/>
        <w:jc w:val="left"/>
      </w:pPr>
      <w:r>
        <w:rPr>
          <w:rFonts w:ascii="Times New Roman"/>
          <w:b/>
          <w:i w:val="false"/>
          <w:color w:val="000000"/>
        </w:rPr>
        <w:t xml:space="preserve"> 2. Земельный рельеф</w:t>
      </w:r>
    </w:p>
    <w:bookmarkEnd w:id="35"/>
    <w:bookmarkStart w:name="z48" w:id="36"/>
    <w:p>
      <w:pPr>
        <w:spacing w:after="0"/>
        <w:ind w:left="0"/>
        <w:jc w:val="both"/>
      </w:pPr>
      <w:r>
        <w:rPr>
          <w:rFonts w:ascii="Times New Roman"/>
          <w:b w:val="false"/>
          <w:i w:val="false"/>
          <w:color w:val="000000"/>
          <w:sz w:val="28"/>
        </w:rPr>
        <w:t>
      Территория района-южная сторона горная зона, одна сторона горная предгорная, к северу расположен массив Мойынкум.</w:t>
      </w:r>
    </w:p>
    <w:bookmarkEnd w:id="36"/>
    <w:bookmarkStart w:name="z49" w:id="37"/>
    <w:p>
      <w:pPr>
        <w:spacing w:after="0"/>
        <w:ind w:left="0"/>
        <w:jc w:val="both"/>
      </w:pPr>
      <w:r>
        <w:rPr>
          <w:rFonts w:ascii="Times New Roman"/>
          <w:b w:val="false"/>
          <w:i w:val="false"/>
          <w:color w:val="000000"/>
          <w:sz w:val="28"/>
        </w:rPr>
        <w:t>
      Горы Каратау состоят из простирающих хребтов, на северо-западном направлении, абсолютная точка гор достигают не единообразны, к югу достигает 420 метров, а к северу это отметка уменьшается до 330 метров.</w:t>
      </w:r>
    </w:p>
    <w:bookmarkEnd w:id="37"/>
    <w:bookmarkStart w:name="z50" w:id="38"/>
    <w:p>
      <w:pPr>
        <w:spacing w:after="0"/>
        <w:ind w:left="0"/>
        <w:jc w:val="both"/>
      </w:pPr>
      <w:r>
        <w:rPr>
          <w:rFonts w:ascii="Times New Roman"/>
          <w:b w:val="false"/>
          <w:i w:val="false"/>
          <w:color w:val="000000"/>
          <w:sz w:val="28"/>
        </w:rPr>
        <w:t>
      Природное условие Сарысуского района, в том числе климат, почва и рельеф земли очень благоприятны для выращивания зернистых и кормовых культур. Плодородные земельные участки можно использовать для получения пастбищного корма и сена.</w:t>
      </w:r>
    </w:p>
    <w:bookmarkEnd w:id="38"/>
    <w:bookmarkStart w:name="z51" w:id="39"/>
    <w:p>
      <w:pPr>
        <w:spacing w:after="0"/>
        <w:ind w:left="0"/>
        <w:jc w:val="both"/>
      </w:pPr>
      <w:r>
        <w:rPr>
          <w:rFonts w:ascii="Times New Roman"/>
          <w:b w:val="false"/>
          <w:i w:val="false"/>
          <w:color w:val="000000"/>
          <w:sz w:val="28"/>
        </w:rPr>
        <w:t>
      Микрорельеф земли соответствует комплекности почвенному слою.</w:t>
      </w:r>
    </w:p>
    <w:bookmarkEnd w:id="39"/>
    <w:bookmarkStart w:name="z52" w:id="40"/>
    <w:p>
      <w:pPr>
        <w:spacing w:after="0"/>
        <w:ind w:left="0"/>
        <w:jc w:val="both"/>
      </w:pPr>
      <w:r>
        <w:rPr>
          <w:rFonts w:ascii="Times New Roman"/>
          <w:b w:val="false"/>
          <w:i w:val="false"/>
          <w:color w:val="000000"/>
          <w:sz w:val="28"/>
        </w:rPr>
        <w:t>
      Рельеф района удобен для засеивания и уборки сельскохозяйственных культур, использования новых технологий для орошения почвы и пасти скот, то есть рельеф не препятствует механической обработке почвы и выращивания сельскохозяйственных культур.</w:t>
      </w:r>
    </w:p>
    <w:bookmarkEnd w:id="40"/>
    <w:bookmarkStart w:name="z53" w:id="41"/>
    <w:p>
      <w:pPr>
        <w:spacing w:after="0"/>
        <w:ind w:left="0"/>
        <w:jc w:val="left"/>
      </w:pPr>
      <w:r>
        <w:rPr>
          <w:rFonts w:ascii="Times New Roman"/>
          <w:b/>
          <w:i w:val="false"/>
          <w:color w:val="000000"/>
        </w:rPr>
        <w:t xml:space="preserve"> 3. Почвы</w:t>
      </w:r>
    </w:p>
    <w:bookmarkEnd w:id="41"/>
    <w:bookmarkStart w:name="z54" w:id="42"/>
    <w:p>
      <w:pPr>
        <w:spacing w:after="0"/>
        <w:ind w:left="0"/>
        <w:jc w:val="both"/>
      </w:pPr>
      <w:r>
        <w:rPr>
          <w:rFonts w:ascii="Times New Roman"/>
          <w:b w:val="false"/>
          <w:i w:val="false"/>
          <w:color w:val="000000"/>
          <w:sz w:val="28"/>
        </w:rPr>
        <w:t>
      Формирование верхнего слоя почвы обусловлено наличием различных климатических глубинных грунтовок, типом рельефных почв.</w:t>
      </w:r>
    </w:p>
    <w:bookmarkEnd w:id="42"/>
    <w:bookmarkStart w:name="z55" w:id="43"/>
    <w:p>
      <w:pPr>
        <w:spacing w:after="0"/>
        <w:ind w:left="0"/>
        <w:jc w:val="both"/>
      </w:pPr>
      <w:r>
        <w:rPr>
          <w:rFonts w:ascii="Times New Roman"/>
          <w:b w:val="false"/>
          <w:i w:val="false"/>
          <w:color w:val="000000"/>
          <w:sz w:val="28"/>
        </w:rPr>
        <w:t>
      Эти почвы хорошего качества, содержание гумуса до 4,2 %. Для использования земледелия требуется только обычная зональная агротехника.</w:t>
      </w:r>
    </w:p>
    <w:bookmarkEnd w:id="43"/>
    <w:bookmarkStart w:name="z56" w:id="44"/>
    <w:p>
      <w:pPr>
        <w:spacing w:after="0"/>
        <w:ind w:left="0"/>
        <w:jc w:val="both"/>
      </w:pPr>
      <w:r>
        <w:rPr>
          <w:rFonts w:ascii="Times New Roman"/>
          <w:b w:val="false"/>
          <w:i w:val="false"/>
          <w:color w:val="000000"/>
          <w:sz w:val="28"/>
        </w:rPr>
        <w:t>
      На территории района светлокаштановые почвы гумусом небогаты. Механический состав этих почв также как и темнокаштановых – суглинки в разной степени защебненные.</w:t>
      </w:r>
    </w:p>
    <w:bookmarkEnd w:id="44"/>
    <w:bookmarkStart w:name="z57" w:id="45"/>
    <w:p>
      <w:pPr>
        <w:spacing w:after="0"/>
        <w:ind w:left="0"/>
        <w:jc w:val="left"/>
      </w:pPr>
      <w:r>
        <w:rPr>
          <w:rFonts w:ascii="Times New Roman"/>
          <w:b/>
          <w:i w:val="false"/>
          <w:color w:val="000000"/>
        </w:rPr>
        <w:t xml:space="preserve"> 4. Растения</w:t>
      </w:r>
    </w:p>
    <w:bookmarkEnd w:id="45"/>
    <w:bookmarkStart w:name="z58" w:id="46"/>
    <w:p>
      <w:pPr>
        <w:spacing w:after="0"/>
        <w:ind w:left="0"/>
        <w:jc w:val="both"/>
      </w:pPr>
      <w:r>
        <w:rPr>
          <w:rFonts w:ascii="Times New Roman"/>
          <w:b w:val="false"/>
          <w:i w:val="false"/>
          <w:color w:val="000000"/>
          <w:sz w:val="28"/>
        </w:rPr>
        <w:t>
      Массив использования земель района расположен в зоне засушливых земель. В основном распространены полынь, кустарниковые растения, т. е. различные травы. Сенокос является в среднем на пастбищах.</w:t>
      </w:r>
    </w:p>
    <w:bookmarkEnd w:id="46"/>
    <w:bookmarkStart w:name="z59" w:id="47"/>
    <w:p>
      <w:pPr>
        <w:spacing w:after="0"/>
        <w:ind w:left="0"/>
        <w:jc w:val="both"/>
      </w:pPr>
      <w:r>
        <w:rPr>
          <w:rFonts w:ascii="Times New Roman"/>
          <w:b w:val="false"/>
          <w:i w:val="false"/>
          <w:color w:val="000000"/>
          <w:sz w:val="28"/>
        </w:rPr>
        <w:t>
      Площадь естественной растительности для скота распространяется по всему району.</w:t>
      </w:r>
    </w:p>
    <w:bookmarkEnd w:id="47"/>
    <w:bookmarkStart w:name="z60" w:id="48"/>
    <w:p>
      <w:pPr>
        <w:spacing w:after="0"/>
        <w:ind w:left="0"/>
        <w:jc w:val="both"/>
      </w:pPr>
      <w:r>
        <w:rPr>
          <w:rFonts w:ascii="Times New Roman"/>
          <w:b w:val="false"/>
          <w:i w:val="false"/>
          <w:color w:val="000000"/>
          <w:sz w:val="28"/>
        </w:rPr>
        <w:t>
      Пастбища в основном представлены такими разновидностями растений как ковыльно-типчако-полынным, типчако-полынным, зернисто-полынно-ковыльно-типчаковым, пырейно-вейниково-зерновым, мятнико-зерновым и мятнико-зернисто-кураковым и составляют сложную скрещенную экосистему местной флоры.</w:t>
      </w:r>
    </w:p>
    <w:bookmarkEnd w:id="48"/>
    <w:bookmarkStart w:name="z61" w:id="49"/>
    <w:p>
      <w:pPr>
        <w:spacing w:after="0"/>
        <w:ind w:left="0"/>
        <w:jc w:val="both"/>
      </w:pPr>
      <w:r>
        <w:rPr>
          <w:rFonts w:ascii="Times New Roman"/>
          <w:b w:val="false"/>
          <w:i w:val="false"/>
          <w:color w:val="000000"/>
          <w:sz w:val="28"/>
        </w:rPr>
        <w:t>
      Пастбища полностью основаны на выпасе сельскохозяйственных животных, вследствие неравномерного использования пастбищ, в результате чего в растительном слое встречаются разные непроходимые травы. Это приводит к уменьшению природных трав, снижению плодородия пастбищ. В связи с этим необходимо скорректировать периодический режим пастбищ, уменьшить площадь пастбищ на одну единицу, а в некоторых местах необходимо посеять многолетние травы.</w:t>
      </w:r>
    </w:p>
    <w:bookmarkEnd w:id="49"/>
    <w:bookmarkStart w:name="z62" w:id="50"/>
    <w:p>
      <w:pPr>
        <w:spacing w:after="0"/>
        <w:ind w:left="0"/>
        <w:jc w:val="both"/>
      </w:pPr>
      <w:r>
        <w:rPr>
          <w:rFonts w:ascii="Times New Roman"/>
          <w:b w:val="false"/>
          <w:i w:val="false"/>
          <w:color w:val="000000"/>
          <w:sz w:val="28"/>
        </w:rPr>
        <w:t>
      Ниже представлена таблица шести степных пастбищных угодий на естественных пастбищах.</w:t>
      </w:r>
    </w:p>
    <w:bookmarkEnd w:id="50"/>
    <w:bookmarkStart w:name="z63" w:id="51"/>
    <w:p>
      <w:pPr>
        <w:spacing w:after="0"/>
        <w:ind w:left="0"/>
        <w:jc w:val="left"/>
      </w:pPr>
      <w:r>
        <w:rPr>
          <w:rFonts w:ascii="Times New Roman"/>
          <w:b/>
          <w:i w:val="false"/>
          <w:color w:val="000000"/>
        </w:rPr>
        <w:t xml:space="preserve"> Проект таблицы шести степных пастбищных угодий после использования одноразовых пастбищ с учетом календарных графиков использования</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997"/>
        <w:gridCol w:w="1997"/>
        <w:gridCol w:w="1997"/>
        <w:gridCol w:w="1997"/>
        <w:gridCol w:w="1997"/>
        <w:gridCol w:w="1997"/>
      </w:tblGrid>
      <w:tr>
        <w:trPr>
          <w:trHeight w:val="30" w:hRule="atLeast"/>
        </w:trPr>
        <w:tc>
          <w:tcPr>
            <w:tcW w:w="3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пастбищных угодий</w:t>
            </w:r>
          </w:p>
        </w:tc>
      </w:tr>
      <w:tr>
        <w:trPr>
          <w:trHeight w:val="30" w:hRule="atLeast"/>
        </w:trPr>
        <w:tc>
          <w:tcPr>
            <w:tcW w:w="0" w:type="auto"/>
            <w:vMerge/>
            <w:tcBorders>
              <w:top w:val="nil"/>
              <w:left w:val="single" w:color="cfcfcf" w:sz="5"/>
              <w:bottom w:val="single" w:color="cfcfcf" w:sz="5"/>
              <w:right w:val="single" w:color="cfcfcf" w:sz="5"/>
            </w:tcBorders>
          </w:tcP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2"/>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24.04 по 02.06</w:t>
            </w:r>
          </w:p>
          <w:bookmarkEnd w:id="52"/>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3"/>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03.06 по 12.07</w:t>
            </w:r>
          </w:p>
          <w:bookmarkEnd w:id="53"/>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4"/>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13.07 по21.08</w:t>
            </w:r>
          </w:p>
          <w:bookmarkEnd w:id="54"/>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5"/>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22.08 по30.09</w:t>
            </w:r>
          </w:p>
          <w:bookmarkEnd w:id="55"/>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6"/>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01.10 по10.11.</w:t>
            </w:r>
          </w:p>
          <w:bookmarkEnd w:id="56"/>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отдых</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отдых</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7"/>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24.04 по 02.06</w:t>
            </w:r>
          </w:p>
          <w:bookmarkEnd w:id="57"/>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8"/>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03.06 по 12.07</w:t>
            </w:r>
          </w:p>
          <w:bookmarkEnd w:id="58"/>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9"/>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13.07 по21.08</w:t>
            </w:r>
          </w:p>
          <w:bookmarkEnd w:id="59"/>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0"/>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22.08 по30.09</w:t>
            </w:r>
          </w:p>
          <w:bookmarkEnd w:id="60"/>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1"/>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01.10 по10.11</w:t>
            </w:r>
          </w:p>
          <w:bookmarkEnd w:id="61"/>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2"/>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24.04 по 02.06</w:t>
            </w:r>
          </w:p>
          <w:bookmarkEnd w:id="62"/>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отдых</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3"/>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03.06 по 12.07</w:t>
            </w:r>
          </w:p>
          <w:bookmarkEnd w:id="63"/>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4"/>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13.07 по21.08</w:t>
            </w:r>
          </w:p>
          <w:bookmarkEnd w:id="64"/>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5"/>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22.08 по30.09</w:t>
            </w:r>
          </w:p>
          <w:bookmarkEnd w:id="65"/>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6"/>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01.10 по10.11</w:t>
            </w:r>
          </w:p>
          <w:bookmarkEnd w:id="66"/>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7"/>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24.04 по 02.06</w:t>
            </w:r>
          </w:p>
          <w:bookmarkEnd w:id="67"/>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8"/>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03.06 по 12.07</w:t>
            </w:r>
          </w:p>
          <w:bookmarkEnd w:id="68"/>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отдых</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9"/>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13.07 по21.08</w:t>
            </w:r>
          </w:p>
          <w:bookmarkEnd w:id="69"/>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0"/>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22.08 по30.09</w:t>
            </w:r>
          </w:p>
          <w:bookmarkEnd w:id="70"/>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1"/>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01.10 по 10.11</w:t>
            </w:r>
          </w:p>
          <w:bookmarkEnd w:id="71"/>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2"/>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24.04 по 02.06</w:t>
            </w:r>
          </w:p>
          <w:bookmarkEnd w:id="72"/>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3"/>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03.06 по 12.07</w:t>
            </w:r>
          </w:p>
          <w:bookmarkEnd w:id="73"/>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4"/>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13.07 по 21.08</w:t>
            </w:r>
          </w:p>
          <w:bookmarkEnd w:id="74"/>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отдых</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5"/>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22.08 по30.09</w:t>
            </w:r>
          </w:p>
          <w:bookmarkEnd w:id="75"/>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6"/>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01.10 по 10.11</w:t>
            </w:r>
          </w:p>
          <w:bookmarkEnd w:id="76"/>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7"/>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24.04 по 02.06</w:t>
            </w:r>
          </w:p>
          <w:bookmarkEnd w:id="77"/>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8"/>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03.06 по 12.07</w:t>
            </w:r>
          </w:p>
          <w:bookmarkEnd w:id="78"/>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9"/>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13.07 по 21.08</w:t>
            </w:r>
          </w:p>
          <w:bookmarkEnd w:id="79"/>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0"/>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22.08 по 30.09</w:t>
            </w:r>
          </w:p>
          <w:bookmarkEnd w:id="80"/>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Полевой отдых</w:t>
            </w:r>
          </w:p>
        </w:tc>
        <w:tc>
          <w:tcPr>
            <w:tcW w:w="1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1"/>
          <w:p>
            <w:pPr>
              <w:spacing w:after="20"/>
              <w:ind w:left="20"/>
              <w:jc w:val="both"/>
            </w:pPr>
            <w:r>
              <w:rPr>
                <w:rFonts w:ascii="Times New Roman"/>
                <w:b w:val="false"/>
                <w:i w:val="false"/>
                <w:color w:val="000000"/>
                <w:sz w:val="20"/>
              </w:rPr>
              <w:t>
Один выгон</w:t>
            </w:r>
            <w:r>
              <w:br/>
            </w:r>
            <w:r>
              <w:rPr>
                <w:rFonts w:ascii="Times New Roman"/>
                <w:b w:val="false"/>
                <w:i w:val="false"/>
                <w:color w:val="000000"/>
                <w:sz w:val="20"/>
              </w:rPr>
              <w:t>
с 01.10 по 10.11</w:t>
            </w:r>
          </w:p>
          <w:bookmarkEnd w:id="81"/>
        </w:tc>
      </w:tr>
    </w:tbl>
    <w:bookmarkStart w:name="z94" w:id="82"/>
    <w:p>
      <w:pPr>
        <w:spacing w:after="0"/>
        <w:ind w:left="0"/>
        <w:jc w:val="both"/>
      </w:pPr>
      <w:r>
        <w:rPr>
          <w:rFonts w:ascii="Times New Roman"/>
          <w:b w:val="false"/>
          <w:i w:val="false"/>
          <w:color w:val="000000"/>
          <w:sz w:val="28"/>
        </w:rPr>
        <w:t>
      Ниже приведена схема шести полей пастбищных кругов на естественных пастбищах.</w:t>
      </w:r>
    </w:p>
    <w:bookmarkEnd w:id="82"/>
    <w:bookmarkStart w:name="z95" w:id="83"/>
    <w:p>
      <w:pPr>
        <w:spacing w:after="0"/>
        <w:ind w:left="0"/>
        <w:jc w:val="left"/>
      </w:pPr>
      <w:r>
        <w:rPr>
          <w:rFonts w:ascii="Times New Roman"/>
          <w:b/>
          <w:i w:val="false"/>
          <w:color w:val="000000"/>
        </w:rPr>
        <w:t xml:space="preserve"> 5. Гидрография и полив</w:t>
      </w:r>
    </w:p>
    <w:bookmarkEnd w:id="83"/>
    <w:bookmarkStart w:name="z96" w:id="84"/>
    <w:p>
      <w:pPr>
        <w:spacing w:after="0"/>
        <w:ind w:left="0"/>
        <w:jc w:val="both"/>
      </w:pPr>
      <w:r>
        <w:rPr>
          <w:rFonts w:ascii="Times New Roman"/>
          <w:b w:val="false"/>
          <w:i w:val="false"/>
          <w:color w:val="000000"/>
          <w:sz w:val="28"/>
        </w:rPr>
        <w:t>
      Гидрография района обусловлена реками Талас и Аса и на проточных озерах расположенных на неглубоких впадинах. В этих впадинах расположены крупные озера. Это Талас, Беркут, Комитерн, Отес и другие озера.</w:t>
      </w:r>
    </w:p>
    <w:bookmarkEnd w:id="84"/>
    <w:bookmarkStart w:name="z97" w:id="85"/>
    <w:p>
      <w:pPr>
        <w:spacing w:after="0"/>
        <w:ind w:left="0"/>
        <w:jc w:val="both"/>
      </w:pPr>
      <w:r>
        <w:rPr>
          <w:rFonts w:ascii="Times New Roman"/>
          <w:b w:val="false"/>
          <w:i w:val="false"/>
          <w:color w:val="000000"/>
          <w:sz w:val="28"/>
        </w:rPr>
        <w:t>
      Многие из озер имеют малые площадь и следовательно, имеют меньшую глубину.</w:t>
      </w:r>
    </w:p>
    <w:bookmarkEnd w:id="85"/>
    <w:bookmarkStart w:name="z98" w:id="86"/>
    <w:p>
      <w:pPr>
        <w:spacing w:after="0"/>
        <w:ind w:left="0"/>
        <w:jc w:val="both"/>
      </w:pPr>
      <w:r>
        <w:rPr>
          <w:rFonts w:ascii="Times New Roman"/>
          <w:b w:val="false"/>
          <w:i w:val="false"/>
          <w:color w:val="000000"/>
          <w:sz w:val="28"/>
        </w:rPr>
        <w:t>
      Площадь большинства озер небольшая и глубина изменяется в зависимости от количества выпавших осадков. Подводя итоги, источники обводнения полностью удовлетворяют потребности сельскохозяйственных животных в районе.</w:t>
      </w:r>
    </w:p>
    <w:bookmarkEnd w:id="86"/>
    <w:bookmarkStart w:name="z99" w:id="87"/>
    <w:p>
      <w:pPr>
        <w:spacing w:after="0"/>
        <w:ind w:left="0"/>
        <w:jc w:val="left"/>
      </w:pPr>
      <w:r>
        <w:rPr>
          <w:rFonts w:ascii="Times New Roman"/>
          <w:b/>
          <w:i w:val="false"/>
          <w:color w:val="000000"/>
        </w:rPr>
        <w:t xml:space="preserve"> 6. Геоботаника пастбищ</w:t>
      </w:r>
    </w:p>
    <w:bookmarkEnd w:id="87"/>
    <w:bookmarkStart w:name="z100" w:id="88"/>
    <w:p>
      <w:pPr>
        <w:spacing w:after="0"/>
        <w:ind w:left="0"/>
        <w:jc w:val="both"/>
      </w:pPr>
      <w:r>
        <w:rPr>
          <w:rFonts w:ascii="Times New Roman"/>
          <w:b w:val="false"/>
          <w:i w:val="false"/>
          <w:color w:val="000000"/>
          <w:sz w:val="28"/>
        </w:rPr>
        <w:t>
      Для определения продуктивности пастбищ использовались данные геоботанических исследований специалистов Республиканского государственного предприятия "Гос НПЦзем" на 1980-2012 годы. Средний урожай сухой массы пастбищ составляет 3,3 центнера за гектар, по размеру корма при пересчитывании -1,5 центнер/гектар. Суммируя это, мы можем рассчитать вес кормовой единицы в районе: 1,5*224 956 гектар = 337434 центнера корма.</w:t>
      </w:r>
    </w:p>
    <w:bookmarkEnd w:id="88"/>
    <w:bookmarkStart w:name="z101" w:id="89"/>
    <w:p>
      <w:pPr>
        <w:spacing w:after="0"/>
        <w:ind w:left="0"/>
        <w:jc w:val="both"/>
      </w:pPr>
      <w:r>
        <w:rPr>
          <w:rFonts w:ascii="Times New Roman"/>
          <w:b w:val="false"/>
          <w:i w:val="false"/>
          <w:color w:val="000000"/>
          <w:sz w:val="28"/>
        </w:rPr>
        <w:t>
      Запас пищи для скота используется для выпаса, который продлевается 180-200 дней. Вспомогательные запасы травы и запасы кошения используются в зимний период.</w:t>
      </w:r>
    </w:p>
    <w:bookmarkEnd w:id="89"/>
    <w:bookmarkStart w:name="z102" w:id="90"/>
    <w:p>
      <w:pPr>
        <w:spacing w:after="0"/>
        <w:ind w:left="0"/>
        <w:jc w:val="left"/>
      </w:pPr>
      <w:r>
        <w:rPr>
          <w:rFonts w:ascii="Times New Roman"/>
          <w:b/>
          <w:i w:val="false"/>
          <w:color w:val="000000"/>
        </w:rPr>
        <w:t xml:space="preserve"> 7. Мощность пастбищ</w:t>
      </w:r>
    </w:p>
    <w:bookmarkEnd w:id="90"/>
    <w:bookmarkStart w:name="z103" w:id="91"/>
    <w:p>
      <w:pPr>
        <w:spacing w:after="0"/>
        <w:ind w:left="0"/>
        <w:jc w:val="both"/>
      </w:pPr>
      <w:r>
        <w:rPr>
          <w:rFonts w:ascii="Times New Roman"/>
          <w:b w:val="false"/>
          <w:i w:val="false"/>
          <w:color w:val="000000"/>
          <w:sz w:val="28"/>
        </w:rPr>
        <w:t>
      Определение пастбищного потенциала было основано на данных о его производительности в период пастбищ. Приблизительно были получены следующие нормы зеленой травы (в среднем на одну голову скота): крупный рогатый скот - 4 килограмма, мелкий рогатый скот - 2 килограмма, лошадь - 6 килограмм. Продолжительность пастбищного периода составляет 180-200 дней. Таким образом, можно определить вместительность пастбища, зная пастбищный продукт, необходимость на один день корма для животных, продолжительность пастбищного периода.</w:t>
      </w:r>
    </w:p>
    <w:bookmarkEnd w:id="91"/>
    <w:bookmarkStart w:name="z104" w:id="92"/>
    <w:p>
      <w:pPr>
        <w:spacing w:after="0"/>
        <w:ind w:left="0"/>
        <w:jc w:val="both"/>
      </w:pPr>
      <w:r>
        <w:rPr>
          <w:rFonts w:ascii="Times New Roman"/>
          <w:b w:val="false"/>
          <w:i w:val="false"/>
          <w:color w:val="000000"/>
          <w:sz w:val="28"/>
        </w:rPr>
        <w:t>
      Средняя урожайность пастбищ, то есть сухая масса с одного гектара 3,3 центнера, продолжительность пастбищ 180 дней, крупный рогатый скот на одну голову требуется 4 килограмма зеленых кормов в день, то есть на весь период пастбищ необходимо 4*180=720 килограмм или 7,2 центнера.</w:t>
      </w:r>
    </w:p>
    <w:bookmarkEnd w:id="92"/>
    <w:bookmarkStart w:name="z105" w:id="93"/>
    <w:p>
      <w:pPr>
        <w:spacing w:after="0"/>
        <w:ind w:left="0"/>
        <w:jc w:val="left"/>
      </w:pPr>
      <w:r>
        <w:rPr>
          <w:rFonts w:ascii="Times New Roman"/>
          <w:b/>
          <w:i w:val="false"/>
          <w:color w:val="000000"/>
        </w:rPr>
        <w:t xml:space="preserve"> Сведения о ветеринарно-санитарных объектах</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87"/>
        <w:gridCol w:w="1731"/>
        <w:gridCol w:w="2687"/>
        <w:gridCol w:w="1731"/>
        <w:gridCol w:w="1732"/>
        <w:gridCol w:w="1732"/>
      </w:tblGrid>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купки скота</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Байкадам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Жанаталап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Игилик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Тогызкент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Камкалы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Досбол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Жанаарык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Туркестан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Жанатас </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06" w:id="94"/>
    <w:p>
      <w:pPr>
        <w:spacing w:after="0"/>
        <w:ind w:left="0"/>
        <w:jc w:val="left"/>
      </w:pPr>
      <w:r>
        <w:rPr>
          <w:rFonts w:ascii="Times New Roman"/>
          <w:b/>
          <w:i w:val="false"/>
          <w:color w:val="000000"/>
        </w:rPr>
        <w:t xml:space="preserve"> Данные о численности поголовья сельскохозяйственных животных с указанием их владельцев – пастбищепользователей, физических и (или) юридических лиц</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
        <w:gridCol w:w="1394"/>
        <w:gridCol w:w="1756"/>
        <w:gridCol w:w="1756"/>
        <w:gridCol w:w="2123"/>
        <w:gridCol w:w="2487"/>
        <w:gridCol w:w="2124"/>
      </w:tblGrid>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r>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Байкадам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крестьянском хозяйстве, в том числе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С.</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Ажулиева Ш.</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Токаев 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Алкеев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Шаукебаева К.</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Елеусизова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Талдыбаева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Бапаш С.</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Елибаев М.</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26677</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17728</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крестьянском хозяйстве, в том числе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8949</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Акмаганбетов Т.</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Жусипалиев К.</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Баяхметов К.</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Бузауов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 С.</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Карпыков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Жуматаев С.</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Матов Х.</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Сарсекеев Т.</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Рысбеков С.</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Жанаталап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крестьянском хозяйстве, в том числе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Тулкибаев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Кулынтай Д.</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Султанбеков О.</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Сайлауов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Егеубаев С.</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Сержанов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Ж.</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Балашов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36890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32911</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крестьянском хозяйстве, в том числе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3979</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Ауежанов 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Ыбыраев Н.</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Кыздарбеков Т.</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Мулкеева Ж.</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Шалбаев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Ж.</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Ж.</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Ж.</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Тогызкент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7917</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крестьянском хозяйстве, в том числе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Еликбаев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Умирзаков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 Ш.</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Мадемаров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Джаппаров Д.</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Курымбаев Н.</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З.</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С.</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Карапашов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Жораев М.</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М.</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Мырзабеков 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С.</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Курымбаев У.</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Ш.</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Мауленкулов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Майров Ж.</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Божбанов К.</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Кокишев Ж.</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Курымбаев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Уткелбаев С.</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М.</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Жолдыбай С.</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Досбол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32410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крестьянском хозяйстве, в том числе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Омарбаев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Наханов Т.</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Миралиева С.</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Кожасбаев 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Бейсенбекова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Шагирбаев 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Жылкыбаев Л.</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Ж.</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Курманкулова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Акшалов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Дуйсенбеков К.</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П.</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Камкалы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20998</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крестьянском хозяйстве, в том числе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16088</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Аханбеков Ж.</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Рашов Н.</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 Ж.</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Б.</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С.</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Конратов С.</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Ошакбаев М.</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Тусипбеков Т.</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Жусамбаев М.</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Жанаарык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19422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крестьянском хозяйстве, в том числе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Айтбеков Ж.</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 Н.</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Акдилдаев Д.</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Рахымбеков Т.</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Кусайнов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Мадибеков К.</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Каракесекова М.</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Кенжетаев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Туркестан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25132</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20896</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крестьянском хозяйстве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4246</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Дутбаев Е.</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Дутбаев М.</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Смайлов Т.</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Г.</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А.</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Кемалов Т.</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2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17804</w:t>
            </w:r>
          </w:p>
        </w:tc>
        <w:tc>
          <w:tcPr>
            <w:tcW w:w="2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244088</w:t>
            </w:r>
          </w:p>
        </w:tc>
        <w:tc>
          <w:tcPr>
            <w:tcW w:w="21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11490</w:t>
            </w:r>
          </w:p>
        </w:tc>
      </w:tr>
    </w:tbl>
    <w:bookmarkStart w:name="z107" w:id="95"/>
    <w:p>
      <w:pPr>
        <w:spacing w:after="0"/>
        <w:ind w:left="0"/>
        <w:jc w:val="left"/>
      </w:pPr>
      <w:r>
        <w:rPr>
          <w:rFonts w:ascii="Times New Roman"/>
          <w:b/>
          <w:i w:val="false"/>
          <w:color w:val="000000"/>
        </w:rPr>
        <w:t xml:space="preserve"> Данные о количестве гуртов, отар, табунов, сформированных по видам и половозрастным группам сельскохозяйственных животных</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5"/>
        <w:gridCol w:w="1245"/>
        <w:gridCol w:w="1933"/>
        <w:gridCol w:w="2625"/>
        <w:gridCol w:w="2626"/>
        <w:gridCol w:w="2626"/>
      </w:tblGrid>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(табун)</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6"/>
          <w:p>
            <w:pPr>
              <w:spacing w:after="20"/>
              <w:ind w:left="20"/>
              <w:jc w:val="both"/>
            </w:pPr>
            <w:r>
              <w:rPr>
                <w:rFonts w:ascii="Times New Roman"/>
                <w:b w:val="false"/>
                <w:i w:val="false"/>
                <w:color w:val="000000"/>
                <w:sz w:val="20"/>
              </w:rPr>
              <w:t>
Крупный рогатый скот (стадо)</w:t>
            </w:r>
          </w:p>
          <w:bookmarkEnd w:id="96"/>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97"/>
          <w:p>
            <w:pPr>
              <w:spacing w:after="20"/>
              <w:ind w:left="20"/>
              <w:jc w:val="both"/>
            </w:pPr>
            <w:r>
              <w:rPr>
                <w:rFonts w:ascii="Times New Roman"/>
                <w:b w:val="false"/>
                <w:i w:val="false"/>
                <w:color w:val="000000"/>
                <w:sz w:val="20"/>
              </w:rPr>
              <w:t>
Мелкий рогатый скот (отар)</w:t>
            </w:r>
          </w:p>
          <w:bookmarkEnd w:id="97"/>
        </w:tc>
      </w:tr>
      <w:tr>
        <w:trPr>
          <w:trHeight w:val="30" w:hRule="atLeast"/>
        </w:trPr>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Байкадам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крестьянских хозяйствах</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Камкалы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крестьянских хозяйствах</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Жанаарык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крестьянских хозяйствах</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Игилик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крестьянских хозяйствах</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Досбол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крестьянских хозяйствах</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Жанатас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крестьянских хозяйствах</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Туркестан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крестьянских хозяйствах</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Жанаталап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крестьянских хозяиствах</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Жайылма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крестьянских хозяиствах</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Тогызкент </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подсобном хозяйстве</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крестьянских хозяиствах</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r>
    </w:tbl>
    <w:bookmarkStart w:name="z110" w:id="98"/>
    <w:p>
      <w:pPr>
        <w:spacing w:after="0"/>
        <w:ind w:left="0"/>
        <w:jc w:val="left"/>
      </w:pPr>
      <w:r>
        <w:rPr>
          <w:rFonts w:ascii="Times New Roman"/>
          <w:b/>
          <w:i w:val="false"/>
          <w:color w:val="000000"/>
        </w:rPr>
        <w:t xml:space="preserve"> Особенности выпаса сельскохозяйственных животных на культурных и аридных пастбищах</w:t>
      </w:r>
    </w:p>
    <w:bookmarkEnd w:id="98"/>
    <w:bookmarkStart w:name="z111" w:id="99"/>
    <w:p>
      <w:pPr>
        <w:spacing w:after="0"/>
        <w:ind w:left="0"/>
        <w:jc w:val="both"/>
      </w:pPr>
      <w:r>
        <w:rPr>
          <w:rFonts w:ascii="Times New Roman"/>
          <w:b w:val="false"/>
          <w:i w:val="false"/>
          <w:color w:val="000000"/>
          <w:sz w:val="28"/>
        </w:rPr>
        <w:t>
      Календарный график по использованию пастбищ, устанавливающий сезонные маршруты выпаса и перегона сельскохозяйственных животных.</w:t>
      </w:r>
    </w:p>
    <w:bookmarkEnd w:id="99"/>
    <w:bookmarkStart w:name="z112" w:id="100"/>
    <w:p>
      <w:pPr>
        <w:spacing w:after="0"/>
        <w:ind w:left="0"/>
        <w:jc w:val="both"/>
      </w:pPr>
      <w:r>
        <w:rPr>
          <w:rFonts w:ascii="Times New Roman"/>
          <w:b w:val="false"/>
          <w:i w:val="false"/>
          <w:color w:val="000000"/>
          <w:sz w:val="28"/>
        </w:rPr>
        <w:t>
      Кроме того, продолжительность пастбищного периода;</w:t>
      </w:r>
    </w:p>
    <w:bookmarkEnd w:id="100"/>
    <w:bookmarkStart w:name="z113" w:id="101"/>
    <w:p>
      <w:pPr>
        <w:spacing w:after="0"/>
        <w:ind w:left="0"/>
        <w:jc w:val="both"/>
      </w:pPr>
      <w:r>
        <w:rPr>
          <w:rFonts w:ascii="Times New Roman"/>
          <w:b w:val="false"/>
          <w:i w:val="false"/>
          <w:color w:val="000000"/>
          <w:sz w:val="28"/>
        </w:rPr>
        <w:t>
      - период продолжительности пастбищ в зависимости от почвенно – климатической зоны, вида сельскохозяйственных животных, а также</w:t>
      </w:r>
    </w:p>
    <w:bookmarkEnd w:id="101"/>
    <w:bookmarkStart w:name="z114" w:id="102"/>
    <w:p>
      <w:pPr>
        <w:spacing w:after="0"/>
        <w:ind w:left="0"/>
        <w:jc w:val="both"/>
      </w:pPr>
      <w:r>
        <w:rPr>
          <w:rFonts w:ascii="Times New Roman"/>
          <w:b w:val="false"/>
          <w:i w:val="false"/>
          <w:color w:val="000000"/>
          <w:sz w:val="28"/>
        </w:rPr>
        <w:t>
      -саксаульно-кустарниковый и степной 180-200 дней,</w:t>
      </w:r>
    </w:p>
    <w:bookmarkEnd w:id="102"/>
    <w:bookmarkStart w:name="z115" w:id="103"/>
    <w:p>
      <w:pPr>
        <w:spacing w:after="0"/>
        <w:ind w:left="0"/>
        <w:jc w:val="both"/>
      </w:pPr>
      <w:r>
        <w:rPr>
          <w:rFonts w:ascii="Times New Roman"/>
          <w:b w:val="false"/>
          <w:i w:val="false"/>
          <w:color w:val="000000"/>
          <w:sz w:val="28"/>
        </w:rPr>
        <w:t>
      -пустынной 150-180 дней.</w:t>
      </w:r>
    </w:p>
    <w:bookmarkEnd w:id="103"/>
    <w:bookmarkStart w:name="z116" w:id="104"/>
    <w:p>
      <w:pPr>
        <w:spacing w:after="0"/>
        <w:ind w:left="0"/>
        <w:jc w:val="both"/>
      </w:pPr>
      <w:r>
        <w:rPr>
          <w:rFonts w:ascii="Times New Roman"/>
          <w:b w:val="false"/>
          <w:i w:val="false"/>
          <w:color w:val="000000"/>
          <w:sz w:val="28"/>
        </w:rPr>
        <w:t>
      Выпас крупного рогатого скота молочной породы минимальная, а крупного рогатого скота мясной породы, овец, лошадей, верблюдов максимальная и зависит от глубины и плотности снежного покрова и других факторов.</w:t>
      </w:r>
    </w:p>
    <w:bookmarkEnd w:id="104"/>
    <w:bookmarkStart w:name="z117" w:id="105"/>
    <w:p>
      <w:pPr>
        <w:spacing w:after="0"/>
        <w:ind w:left="0"/>
        <w:jc w:val="left"/>
      </w:pPr>
      <w:r>
        <w:rPr>
          <w:rFonts w:ascii="Times New Roman"/>
          <w:b/>
          <w:i w:val="false"/>
          <w:color w:val="000000"/>
        </w:rPr>
        <w:t xml:space="preserve"> Сведения о сервитутах для прогона скота</w:t>
      </w:r>
    </w:p>
    <w:bookmarkEnd w:id="105"/>
    <w:bookmarkStart w:name="z118" w:id="106"/>
    <w:p>
      <w:pPr>
        <w:spacing w:after="0"/>
        <w:ind w:left="0"/>
        <w:jc w:val="both"/>
      </w:pPr>
      <w:r>
        <w:rPr>
          <w:rFonts w:ascii="Times New Roman"/>
          <w:b w:val="false"/>
          <w:i w:val="false"/>
          <w:color w:val="000000"/>
          <w:sz w:val="28"/>
        </w:rPr>
        <w:t>
      По Сарысускому району нет сервитутов для прогона скота и препятствий для прогона скота. Площадь сельхозугодий составляет 465 564 гектаров.</w:t>
      </w:r>
    </w:p>
    <w:bookmarkEnd w:id="106"/>
    <w:bookmarkStart w:name="z119" w:id="107"/>
    <w:p>
      <w:pPr>
        <w:spacing w:after="0"/>
        <w:ind w:left="0"/>
        <w:jc w:val="left"/>
      </w:pPr>
      <w:r>
        <w:rPr>
          <w:rFonts w:ascii="Times New Roman"/>
          <w:b/>
          <w:i w:val="false"/>
          <w:color w:val="000000"/>
        </w:rPr>
        <w:t xml:space="preserve"> Сведения о формировании отдельных пастбищ для выпаса поголовья сельскохозяйственных животных</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2"/>
        <w:gridCol w:w="282"/>
        <w:gridCol w:w="1301"/>
        <w:gridCol w:w="1536"/>
        <w:gridCol w:w="1381"/>
        <w:gridCol w:w="675"/>
        <w:gridCol w:w="1536"/>
        <w:gridCol w:w="1536"/>
        <w:gridCol w:w="1537"/>
        <w:gridCol w:w="570"/>
        <w:gridCol w:w="910"/>
        <w:gridCol w:w="754"/>
      </w:tblGrid>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сельских округов</w:t>
            </w:r>
          </w:p>
        </w:tc>
        <w:tc>
          <w:tcPr>
            <w:tcW w:w="1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земли населенных пунктов</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для нужд населения (пастбище и сенокос)</w:t>
            </w:r>
          </w:p>
        </w:tc>
        <w:tc>
          <w:tcPr>
            <w:tcW w:w="138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Численость поголовье скота у населения и крестьяских хозяйств</w:t>
            </w:r>
          </w:p>
        </w:tc>
        <w:tc>
          <w:tcPr>
            <w:tcW w:w="6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на один голов, га</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на один голов по нормативугектар</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требующего дополнительного пастбище,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 пастбища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08"/>
          <w:p>
            <w:pPr>
              <w:spacing w:after="20"/>
              <w:ind w:left="20"/>
              <w:jc w:val="both"/>
            </w:pPr>
            <w:r>
              <w:rPr>
                <w:rFonts w:ascii="Times New Roman"/>
                <w:b w:val="false"/>
                <w:i w:val="false"/>
                <w:color w:val="000000"/>
                <w:sz w:val="20"/>
              </w:rPr>
              <w:t>
из земель запаса</w:t>
            </w:r>
            <w:r>
              <w:br/>
            </w:r>
            <w:r>
              <w:rPr>
                <w:rFonts w:ascii="Times New Roman"/>
                <w:b w:val="false"/>
                <w:i w:val="false"/>
                <w:color w:val="000000"/>
                <w:sz w:val="20"/>
              </w:rPr>
              <w:t>
(гектар)</w:t>
            </w:r>
          </w:p>
          <w:bookmarkEnd w:id="108"/>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09"/>
          <w:p>
            <w:pPr>
              <w:spacing w:after="20"/>
              <w:ind w:left="20"/>
              <w:jc w:val="both"/>
            </w:pPr>
            <w:r>
              <w:rPr>
                <w:rFonts w:ascii="Times New Roman"/>
                <w:b w:val="false"/>
                <w:i w:val="false"/>
                <w:color w:val="000000"/>
                <w:sz w:val="20"/>
              </w:rPr>
              <w:t>
из арендованных земель (гектар)</w:t>
            </w:r>
          </w:p>
          <w:bookmarkEnd w:id="109"/>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0"/>
          <w:p>
            <w:pPr>
              <w:spacing w:after="20"/>
              <w:ind w:left="20"/>
              <w:jc w:val="both"/>
            </w:pPr>
            <w:r>
              <w:rPr>
                <w:rFonts w:ascii="Times New Roman"/>
                <w:b w:val="false"/>
                <w:i w:val="false"/>
                <w:color w:val="000000"/>
                <w:sz w:val="20"/>
              </w:rPr>
              <w:t>
сезонных пастбищ (гектар)</w:t>
            </w:r>
          </w:p>
          <w:bookmarkEnd w:id="110"/>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1"/>
          <w:p>
            <w:pPr>
              <w:spacing w:after="20"/>
              <w:ind w:left="20"/>
              <w:jc w:val="both"/>
            </w:pPr>
            <w:r>
              <w:rPr>
                <w:rFonts w:ascii="Times New Roman"/>
                <w:b w:val="false"/>
                <w:i w:val="false"/>
                <w:color w:val="000000"/>
                <w:sz w:val="20"/>
              </w:rPr>
              <w:t>
отгонные пастбище (гектар)</w:t>
            </w:r>
          </w:p>
          <w:bookmarkEnd w:id="111"/>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Байкадамский сельский округ</w:t>
            </w:r>
          </w:p>
        </w:tc>
        <w:tc>
          <w:tcPr>
            <w:tcW w:w="1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3198</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2"/>
          <w:p>
            <w:pPr>
              <w:spacing w:after="20"/>
              <w:ind w:left="20"/>
              <w:jc w:val="both"/>
            </w:pPr>
            <w:r>
              <w:rPr>
                <w:rFonts w:ascii="Times New Roman"/>
                <w:b w:val="false"/>
                <w:i w:val="false"/>
                <w:color w:val="000000"/>
                <w:sz w:val="20"/>
              </w:rPr>
              <w:t>
Пастбище 4135,24</w:t>
            </w:r>
          </w:p>
          <w:bookmarkEnd w:id="112"/>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2584</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28424</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98 924,16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98 924,16</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 – 25842</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56852,4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823</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460</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29709</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103059,40</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Игиликский сельский округ</w:t>
            </w:r>
          </w:p>
        </w:tc>
        <w:tc>
          <w:tcPr>
            <w:tcW w:w="1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9841</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3"/>
          <w:p>
            <w:pPr>
              <w:spacing w:after="20"/>
              <w:ind w:left="20"/>
              <w:jc w:val="both"/>
            </w:pPr>
            <w:r>
              <w:rPr>
                <w:rFonts w:ascii="Times New Roman"/>
                <w:b w:val="false"/>
                <w:i w:val="false"/>
                <w:color w:val="000000"/>
                <w:sz w:val="20"/>
              </w:rPr>
              <w:t>
Пастбище 17895,27</w:t>
            </w:r>
          </w:p>
          <w:bookmarkEnd w:id="113"/>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1950</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21450</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75100,13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75100,13</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 – 26677</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58689,4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675</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265</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29567</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92995,4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Жанаталапский сельский округ</w:t>
            </w:r>
          </w:p>
        </w:tc>
        <w:tc>
          <w:tcPr>
            <w:tcW w:w="1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3767</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4"/>
          <w:p>
            <w:pPr>
              <w:spacing w:after="20"/>
              <w:ind w:left="20"/>
              <w:jc w:val="both"/>
            </w:pPr>
            <w:r>
              <w:rPr>
                <w:rFonts w:ascii="Times New Roman"/>
                <w:b w:val="false"/>
                <w:i w:val="false"/>
                <w:color w:val="000000"/>
                <w:sz w:val="20"/>
              </w:rPr>
              <w:t>
Пастбище 32497,96</w:t>
            </w:r>
          </w:p>
          <w:bookmarkEnd w:id="114"/>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1200</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52037,84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52037,84</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 – 26965</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590</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282</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29037</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84535,8</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Жайылминский сельский округ</w:t>
            </w:r>
          </w:p>
        </w:tc>
        <w:tc>
          <w:tcPr>
            <w:tcW w:w="1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13051</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5"/>
          <w:p>
            <w:pPr>
              <w:spacing w:after="20"/>
              <w:ind w:left="20"/>
              <w:jc w:val="both"/>
            </w:pPr>
            <w:r>
              <w:rPr>
                <w:rFonts w:ascii="Times New Roman"/>
                <w:b w:val="false"/>
                <w:i w:val="false"/>
                <w:color w:val="000000"/>
                <w:sz w:val="20"/>
              </w:rPr>
              <w:t>
Пастбище 191623,63</w:t>
            </w:r>
          </w:p>
          <w:bookmarkEnd w:id="115"/>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2782</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30602</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60287,23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60287,23</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 – 36890</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663</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731</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41066</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131636,4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Тогызкентский сельский округ</w:t>
            </w:r>
          </w:p>
        </w:tc>
        <w:tc>
          <w:tcPr>
            <w:tcW w:w="1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6"/>
          <w:p>
            <w:pPr>
              <w:spacing w:after="20"/>
              <w:ind w:left="20"/>
              <w:jc w:val="both"/>
            </w:pPr>
            <w:r>
              <w:rPr>
                <w:rFonts w:ascii="Times New Roman"/>
                <w:b w:val="false"/>
                <w:i w:val="false"/>
                <w:color w:val="000000"/>
                <w:sz w:val="20"/>
              </w:rPr>
              <w:t>
Пастбище -</w:t>
            </w:r>
          </w:p>
          <w:bookmarkEnd w:id="116"/>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3081</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33891</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 – 31677</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69689,4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524</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нет</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35282</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110392,4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Досболский сельский округ</w:t>
            </w:r>
          </w:p>
        </w:tc>
        <w:tc>
          <w:tcPr>
            <w:tcW w:w="1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7"/>
          <w:p>
            <w:pPr>
              <w:spacing w:after="20"/>
              <w:ind w:left="20"/>
              <w:jc w:val="both"/>
            </w:pPr>
            <w:r>
              <w:rPr>
                <w:rFonts w:ascii="Times New Roman"/>
                <w:b w:val="false"/>
                <w:i w:val="false"/>
                <w:color w:val="000000"/>
                <w:sz w:val="20"/>
              </w:rPr>
              <w:t>
Пастбище 11447,7</w:t>
            </w:r>
          </w:p>
          <w:bookmarkEnd w:id="117"/>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2204</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24244</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13028,13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13028,13</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 – 32410</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437</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263</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35314</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141729</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Камкалинский сельский округ</w:t>
            </w:r>
          </w:p>
        </w:tc>
        <w:tc>
          <w:tcPr>
            <w:tcW w:w="1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14899</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18"/>
          <w:p>
            <w:pPr>
              <w:spacing w:after="20"/>
              <w:ind w:left="20"/>
              <w:jc w:val="both"/>
            </w:pPr>
            <w:r>
              <w:rPr>
                <w:rFonts w:ascii="Times New Roman"/>
                <w:b w:val="false"/>
                <w:i w:val="false"/>
                <w:color w:val="000000"/>
                <w:sz w:val="20"/>
              </w:rPr>
              <w:t>
Пастбище 361490,19</w:t>
            </w:r>
          </w:p>
          <w:bookmarkEnd w:id="118"/>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1501</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16511</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139062,81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139062,81</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 – 20998</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461956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538</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98</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23135</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500553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Жанаарыкский сельский округ</w:t>
            </w:r>
          </w:p>
        </w:tc>
        <w:tc>
          <w:tcPr>
            <w:tcW w:w="1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6399,09</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19"/>
          <w:p>
            <w:pPr>
              <w:spacing w:after="20"/>
              <w:ind w:left="20"/>
              <w:jc w:val="both"/>
            </w:pPr>
            <w:r>
              <w:rPr>
                <w:rFonts w:ascii="Times New Roman"/>
                <w:b w:val="false"/>
                <w:i w:val="false"/>
                <w:color w:val="000000"/>
                <w:sz w:val="20"/>
              </w:rPr>
              <w:t>
Пастбище 15287,08</w:t>
            </w:r>
          </w:p>
          <w:bookmarkEnd w:id="119"/>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1141</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12551</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77 896,72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77 896,72</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 – 33412</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547</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1</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35101</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93183,8</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Туркестанский сельский округ</w:t>
            </w:r>
          </w:p>
        </w:tc>
        <w:tc>
          <w:tcPr>
            <w:tcW w:w="13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7966</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0"/>
          <w:p>
            <w:pPr>
              <w:spacing w:after="20"/>
              <w:ind w:left="20"/>
              <w:jc w:val="both"/>
            </w:pPr>
            <w:r>
              <w:rPr>
                <w:rFonts w:ascii="Times New Roman"/>
                <w:b w:val="false"/>
                <w:i w:val="false"/>
                <w:color w:val="000000"/>
                <w:sz w:val="20"/>
              </w:rPr>
              <w:t>
Пастбище 7349,26</w:t>
            </w:r>
          </w:p>
          <w:bookmarkEnd w:id="120"/>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 1852</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20372</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76 503,14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76 503,14</w:t>
            </w:r>
          </w:p>
        </w:tc>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 – 25132</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 – 630</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 – нет</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27614</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83852,4</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району</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69905,09</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632026,33</w:t>
            </w:r>
          </w:p>
        </w:tc>
        <w:tc>
          <w:tcPr>
            <w:tcW w:w="1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285825</w:t>
            </w:r>
          </w:p>
        </w:tc>
        <w:tc>
          <w:tcPr>
            <w:tcW w:w="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1341 937,6</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59 2840,16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59 2840,16</w:t>
            </w:r>
          </w:p>
        </w:tc>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