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228a38" w14:textId="d228a3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Плана по управлению пастбищами и их использованию по Т. Рыскуловскому району на 2020-2021 годы</w:t>
      </w:r>
    </w:p>
    <w:p>
      <w:pPr>
        <w:spacing w:after="0"/>
        <w:ind w:left="0"/>
        <w:jc w:val="both"/>
      </w:pPr>
      <w:r>
        <w:rPr>
          <w:rFonts w:ascii="Times New Roman"/>
          <w:b w:val="false"/>
          <w:i w:val="false"/>
          <w:color w:val="000000"/>
          <w:sz w:val="28"/>
        </w:rPr>
        <w:t>Решение маслихата района Т. Рыскулова Жамбылской области от 20 апреля 2020 года № 53-12. Зарегистрировано Департаментом юстиции Жамбылской области 27 мая 2020 года № 4618</w:t>
      </w:r>
    </w:p>
    <w:p>
      <w:pPr>
        <w:spacing w:after="0"/>
        <w:ind w:left="0"/>
        <w:jc w:val="both"/>
      </w:pPr>
      <w:bookmarkStart w:name="z7" w:id="0"/>
      <w:r>
        <w:rPr>
          <w:rFonts w:ascii="Times New Roman"/>
          <w:b w:val="false"/>
          <w:i w:val="false"/>
          <w:color w:val="000000"/>
          <w:sz w:val="28"/>
        </w:rPr>
        <w:t xml:space="preserve">
      В соответствии со </w:t>
      </w:r>
      <w:r>
        <w:rPr>
          <w:rFonts w:ascii="Times New Roman"/>
          <w:b w:val="false"/>
          <w:i w:val="false"/>
          <w:color w:val="000000"/>
          <w:sz w:val="28"/>
        </w:rPr>
        <w:t>статьей 6</w:t>
      </w:r>
      <w:r>
        <w:rPr>
          <w:rFonts w:ascii="Times New Roman"/>
          <w:b w:val="false"/>
          <w:i w:val="false"/>
          <w:color w:val="000000"/>
          <w:sz w:val="28"/>
        </w:rPr>
        <w:t xml:space="preserve"> Закона Республики Казахстан от 23 января 2001 года "О местном государственном управлении и самоуправлении в Республике Казахстан" и подпунктом 1) </w:t>
      </w:r>
      <w:r>
        <w:rPr>
          <w:rFonts w:ascii="Times New Roman"/>
          <w:b w:val="false"/>
          <w:i w:val="false"/>
          <w:color w:val="000000"/>
          <w:sz w:val="28"/>
        </w:rPr>
        <w:t>статьи 8</w:t>
      </w:r>
      <w:r>
        <w:rPr>
          <w:rFonts w:ascii="Times New Roman"/>
          <w:b w:val="false"/>
          <w:i w:val="false"/>
          <w:color w:val="000000"/>
          <w:sz w:val="28"/>
        </w:rPr>
        <w:t xml:space="preserve"> Закона Республики Казахстан от 20 февраля 2017 года "О пастбищах" маслихат района Т.Рыскулова РЕШИЛ:</w:t>
      </w:r>
    </w:p>
    <w:bookmarkEnd w:id="0"/>
    <w:bookmarkStart w:name="z8" w:id="1"/>
    <w:p>
      <w:pPr>
        <w:spacing w:after="0"/>
        <w:ind w:left="0"/>
        <w:jc w:val="both"/>
      </w:pPr>
      <w:r>
        <w:rPr>
          <w:rFonts w:ascii="Times New Roman"/>
          <w:b w:val="false"/>
          <w:i w:val="false"/>
          <w:color w:val="000000"/>
          <w:sz w:val="28"/>
        </w:rPr>
        <w:t xml:space="preserve">
      1. Утвердить прилагаемый </w:t>
      </w:r>
      <w:r>
        <w:rPr>
          <w:rFonts w:ascii="Times New Roman"/>
          <w:b w:val="false"/>
          <w:i w:val="false"/>
          <w:color w:val="000000"/>
          <w:sz w:val="28"/>
        </w:rPr>
        <w:t>План</w:t>
      </w:r>
      <w:r>
        <w:rPr>
          <w:rFonts w:ascii="Times New Roman"/>
          <w:b w:val="false"/>
          <w:i w:val="false"/>
          <w:color w:val="000000"/>
          <w:sz w:val="28"/>
        </w:rPr>
        <w:t xml:space="preserve"> по управлению пастбищами и их использованию по Т.Рыскуловскому району на 2020-2021 годы.</w:t>
      </w:r>
    </w:p>
    <w:bookmarkEnd w:id="1"/>
    <w:bookmarkStart w:name="z9" w:id="2"/>
    <w:p>
      <w:pPr>
        <w:spacing w:after="0"/>
        <w:ind w:left="0"/>
        <w:jc w:val="both"/>
      </w:pPr>
      <w:r>
        <w:rPr>
          <w:rFonts w:ascii="Times New Roman"/>
          <w:b w:val="false"/>
          <w:i w:val="false"/>
          <w:color w:val="000000"/>
          <w:sz w:val="28"/>
        </w:rPr>
        <w:t>
      2. Контроль за исполнением и публикацию в интернет ресурсах данного решения возложить на постоянную комиссию районного маслихата по вопросам экономики, финансов, бюджета и развития местного самоуправления.</w:t>
      </w:r>
    </w:p>
    <w:bookmarkEnd w:id="2"/>
    <w:bookmarkStart w:name="z10" w:id="3"/>
    <w:p>
      <w:pPr>
        <w:spacing w:after="0"/>
        <w:ind w:left="0"/>
        <w:jc w:val="both"/>
      </w:pPr>
      <w:r>
        <w:rPr>
          <w:rFonts w:ascii="Times New Roman"/>
          <w:b w:val="false"/>
          <w:i w:val="false"/>
          <w:color w:val="000000"/>
          <w:sz w:val="28"/>
        </w:rPr>
        <w:t>
      3. Настоящее решение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w:t>
      </w:r>
    </w:p>
    <w:bookmarkEnd w:id="3"/>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Председатель сессии маслихата </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района Турара Рыскулова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Кульбараков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Секретарь маслихата района </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Турара Рыскулова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Джаманбаев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решению</w:t>
            </w:r>
            <w:r>
              <w:br/>
            </w:r>
            <w:r>
              <w:rPr>
                <w:rFonts w:ascii="Times New Roman"/>
                <w:b w:val="false"/>
                <w:i w:val="false"/>
                <w:color w:val="000000"/>
                <w:sz w:val="20"/>
              </w:rPr>
              <w:t xml:space="preserve">маслихата района Т. Рыскулова </w:t>
            </w:r>
            <w:r>
              <w:br/>
            </w:r>
            <w:r>
              <w:rPr>
                <w:rFonts w:ascii="Times New Roman"/>
                <w:b w:val="false"/>
                <w:i w:val="false"/>
                <w:color w:val="000000"/>
                <w:sz w:val="20"/>
              </w:rPr>
              <w:t>от 20 апреля 2020 года № 53-12</w:t>
            </w:r>
          </w:p>
        </w:tc>
      </w:tr>
    </w:tbl>
    <w:bookmarkStart w:name="z14" w:id="4"/>
    <w:p>
      <w:pPr>
        <w:spacing w:after="0"/>
        <w:ind w:left="0"/>
        <w:jc w:val="left"/>
      </w:pPr>
      <w:r>
        <w:rPr>
          <w:rFonts w:ascii="Times New Roman"/>
          <w:b/>
          <w:i w:val="false"/>
          <w:color w:val="000000"/>
        </w:rPr>
        <w:t xml:space="preserve"> План по управлению пастбищами и их использованию по Т.Рыскуловскому району на 2020 - 2021 годы</w:t>
      </w:r>
    </w:p>
    <w:bookmarkEnd w:id="4"/>
    <w:bookmarkStart w:name="z15" w:id="5"/>
    <w:p>
      <w:pPr>
        <w:spacing w:after="0"/>
        <w:ind w:left="0"/>
        <w:jc w:val="both"/>
      </w:pPr>
      <w:r>
        <w:rPr>
          <w:rFonts w:ascii="Times New Roman"/>
          <w:b w:val="false"/>
          <w:i w:val="false"/>
          <w:color w:val="000000"/>
          <w:sz w:val="28"/>
        </w:rPr>
        <w:t xml:space="preserve">
      1. Настоящий План по управлению пастбищами и их использованию по Т.Рыскуловскому району на 2020 - 2021 годы (далее – План) разработан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23 января 2001 года "О местном государственном управлении и самоуправлении в Республике Казахстан",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20 февраля 2017 года "О пастбищах", приказом Заместителя Премьер-Министра Республики Казахстан - Министра сельского хозяйства Республики Казахстан от 24 апреля 2017 года </w:t>
      </w:r>
      <w:r>
        <w:rPr>
          <w:rFonts w:ascii="Times New Roman"/>
          <w:b w:val="false"/>
          <w:i w:val="false"/>
          <w:color w:val="000000"/>
          <w:sz w:val="28"/>
        </w:rPr>
        <w:t>№ 173</w:t>
      </w:r>
      <w:r>
        <w:rPr>
          <w:rFonts w:ascii="Times New Roman"/>
          <w:b w:val="false"/>
          <w:i w:val="false"/>
          <w:color w:val="000000"/>
          <w:sz w:val="28"/>
        </w:rPr>
        <w:t xml:space="preserve"> "Об утверждении Правил рационального использования пастбищ", приказом Министра сельского хозяйства Республики Казахстан от 14 апреля 2015 года </w:t>
      </w:r>
      <w:r>
        <w:rPr>
          <w:rFonts w:ascii="Times New Roman"/>
          <w:b w:val="false"/>
          <w:i w:val="false"/>
          <w:color w:val="000000"/>
          <w:sz w:val="28"/>
        </w:rPr>
        <w:t>№ 3-3/332</w:t>
      </w:r>
      <w:r>
        <w:rPr>
          <w:rFonts w:ascii="Times New Roman"/>
          <w:b w:val="false"/>
          <w:i w:val="false"/>
          <w:color w:val="000000"/>
          <w:sz w:val="28"/>
        </w:rPr>
        <w:t xml:space="preserve"> "Об утверждении предельно допустимой нормы нагрузки на общую площадь пастбищ".</w:t>
      </w:r>
    </w:p>
    <w:bookmarkEnd w:id="5"/>
    <w:bookmarkStart w:name="z16" w:id="6"/>
    <w:p>
      <w:pPr>
        <w:spacing w:after="0"/>
        <w:ind w:left="0"/>
        <w:jc w:val="both"/>
      </w:pPr>
      <w:r>
        <w:rPr>
          <w:rFonts w:ascii="Times New Roman"/>
          <w:b w:val="false"/>
          <w:i w:val="false"/>
          <w:color w:val="000000"/>
          <w:sz w:val="28"/>
        </w:rPr>
        <w:t>
      В экономике Т.Рыскуловского района сельскохозяйственный сектор занимает ведущее место. Если развитие скотоводства занимает ведущее место для полного обеспечения продовольствием нашей Родины, то его основа-рациональное и выгодное использование природных пастбищ. Неотложенных мероприятий требует по улучшению пастбищ не допуская его изношенности, рациональное использование природных пастбищ землепользователями и собственниками. Т.Рыскуловский район расположен на юго-восточной части территории Жамбылской области, и граничит с районами Байзак, Мойынкум, Мерке и Кыргызской Республикой. Площадь района Т.Рыскулова составляет 9,08 тысячи квадратных киллометров либо 14,5% от площади Жамбылской области.</w:t>
      </w:r>
    </w:p>
    <w:bookmarkEnd w:id="6"/>
    <w:bookmarkStart w:name="z17" w:id="7"/>
    <w:p>
      <w:pPr>
        <w:spacing w:after="0"/>
        <w:ind w:left="0"/>
        <w:jc w:val="both"/>
      </w:pPr>
      <w:r>
        <w:rPr>
          <w:rFonts w:ascii="Times New Roman"/>
          <w:b w:val="false"/>
          <w:i w:val="false"/>
          <w:color w:val="000000"/>
          <w:sz w:val="28"/>
        </w:rPr>
        <w:t>
      Несмотря на то, что его основная часть составляет равнинную землю, природа района Т.Рыскулова обособлена своим разнообразием. Южная часть района является горной. Там расположены горы Ойранды, Каракыстак, Сулутор, Шонгер, Кокдонен, Когершин, Мынбел.</w:t>
      </w:r>
    </w:p>
    <w:bookmarkEnd w:id="7"/>
    <w:bookmarkStart w:name="z18" w:id="8"/>
    <w:p>
      <w:pPr>
        <w:spacing w:after="0"/>
        <w:ind w:left="0"/>
        <w:jc w:val="both"/>
      </w:pPr>
      <w:r>
        <w:rPr>
          <w:rFonts w:ascii="Times New Roman"/>
          <w:b w:val="false"/>
          <w:i w:val="false"/>
          <w:color w:val="000000"/>
          <w:sz w:val="28"/>
        </w:rPr>
        <w:t>
      Центральную и северную часть района составляет равнина. На севере граничит с песками Мойынкум. Подводные воды и строительные материалы были исследованы в недрах. Климат района континентальный, зима несколько мягкая, лето жаркое. Средняя температура воздуха января месяца составляет -6-8 С, соответственно июль +20 С- +25 С. Годовая площадь дождя в равнинных землях составляет до 200-250 миллиметров, в горных местностях и в горах до 450-500 миллиметров. Почва темноватая и голо-серого цвета, пурпурная, темно-коричневая и черноземная почва.</w:t>
      </w:r>
    </w:p>
    <w:bookmarkEnd w:id="8"/>
    <w:bookmarkStart w:name="z19" w:id="9"/>
    <w:p>
      <w:pPr>
        <w:spacing w:after="0"/>
        <w:ind w:left="0"/>
        <w:jc w:val="both"/>
      </w:pPr>
      <w:r>
        <w:rPr>
          <w:rFonts w:ascii="Times New Roman"/>
          <w:b w:val="false"/>
          <w:i w:val="false"/>
          <w:color w:val="000000"/>
          <w:sz w:val="28"/>
        </w:rPr>
        <w:t>
      Количество поголовья сельскохозяйственных животных на территории района составляет: 31413 голов крупного рогатого скота, 418461 голов мелкого рогатого скота, 18227 лошадей, 77 верблюдов.</w:t>
      </w:r>
    </w:p>
    <w:bookmarkEnd w:id="9"/>
    <w:bookmarkStart w:name="z20" w:id="10"/>
    <w:p>
      <w:pPr>
        <w:spacing w:after="0"/>
        <w:ind w:left="0"/>
        <w:jc w:val="both"/>
      </w:pPr>
      <w:r>
        <w:rPr>
          <w:rFonts w:ascii="Times New Roman"/>
          <w:b w:val="false"/>
          <w:i w:val="false"/>
          <w:color w:val="000000"/>
          <w:sz w:val="28"/>
        </w:rPr>
        <w:t>
      Цель плана: управление пастбищами и их использование.</w:t>
      </w:r>
    </w:p>
    <w:bookmarkEnd w:id="10"/>
    <w:bookmarkStart w:name="z21" w:id="11"/>
    <w:p>
      <w:pPr>
        <w:spacing w:after="0"/>
        <w:ind w:left="0"/>
        <w:jc w:val="both"/>
      </w:pPr>
      <w:r>
        <w:rPr>
          <w:rFonts w:ascii="Times New Roman"/>
          <w:b w:val="false"/>
          <w:i w:val="false"/>
          <w:color w:val="000000"/>
          <w:sz w:val="28"/>
        </w:rPr>
        <w:t xml:space="preserve">
      </w:t>
      </w:r>
    </w:p>
    <w:bookmarkEnd w:id="11"/>
    <w:p>
      <w:pPr>
        <w:spacing w:after="0"/>
        <w:ind w:left="0"/>
        <w:jc w:val="both"/>
      </w:pPr>
      <w:r>
        <w:drawing>
          <wp:inline distT="0" distB="0" distL="0" distR="0">
            <wp:extent cx="4953000" cy="7620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4953000" cy="7620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22" w:id="12"/>
    <w:p>
      <w:pPr>
        <w:spacing w:after="0"/>
        <w:ind w:left="0"/>
        <w:jc w:val="both"/>
      </w:pPr>
      <w:r>
        <w:rPr>
          <w:rFonts w:ascii="Times New Roman"/>
          <w:b w:val="false"/>
          <w:i w:val="false"/>
          <w:color w:val="000000"/>
          <w:sz w:val="28"/>
        </w:rPr>
        <w:t xml:space="preserve">
      </w:t>
      </w:r>
    </w:p>
    <w:bookmarkEnd w:id="12"/>
    <w:p>
      <w:pPr>
        <w:spacing w:after="0"/>
        <w:ind w:left="0"/>
        <w:jc w:val="both"/>
      </w:pPr>
      <w:r>
        <w:drawing>
          <wp:inline distT="0" distB="0" distL="0" distR="0">
            <wp:extent cx="7810500" cy="11036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810500" cy="11036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23" w:id="13"/>
    <w:p>
      <w:pPr>
        <w:spacing w:after="0"/>
        <w:ind w:left="0"/>
        <w:jc w:val="both"/>
      </w:pPr>
      <w:r>
        <w:rPr>
          <w:rFonts w:ascii="Times New Roman"/>
          <w:b w:val="false"/>
          <w:i w:val="false"/>
          <w:color w:val="000000"/>
          <w:sz w:val="28"/>
        </w:rPr>
        <w:t xml:space="preserve">
      </w:t>
      </w:r>
    </w:p>
    <w:bookmarkEnd w:id="13"/>
    <w:p>
      <w:pPr>
        <w:spacing w:after="0"/>
        <w:ind w:left="0"/>
        <w:jc w:val="both"/>
      </w:pPr>
      <w:r>
        <w:drawing>
          <wp:inline distT="0" distB="0" distL="0" distR="0">
            <wp:extent cx="7810500" cy="11036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7810500" cy="11036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24" w:id="14"/>
    <w:p>
      <w:pPr>
        <w:spacing w:after="0"/>
        <w:ind w:left="0"/>
        <w:jc w:val="both"/>
      </w:pPr>
      <w:r>
        <w:rPr>
          <w:rFonts w:ascii="Times New Roman"/>
          <w:b w:val="false"/>
          <w:i w:val="false"/>
          <w:color w:val="000000"/>
          <w:sz w:val="28"/>
        </w:rPr>
        <w:t xml:space="preserve">
      </w:t>
      </w:r>
    </w:p>
    <w:bookmarkEnd w:id="14"/>
    <w:p>
      <w:pPr>
        <w:spacing w:after="0"/>
        <w:ind w:left="0"/>
        <w:jc w:val="both"/>
      </w:pPr>
      <w:r>
        <w:drawing>
          <wp:inline distT="0" distB="0" distL="0" distR="0">
            <wp:extent cx="7810500" cy="11036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7810500" cy="11036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25" w:id="15"/>
    <w:p>
      <w:pPr>
        <w:spacing w:after="0"/>
        <w:ind w:left="0"/>
        <w:jc w:val="both"/>
      </w:pPr>
      <w:r>
        <w:rPr>
          <w:rFonts w:ascii="Times New Roman"/>
          <w:b w:val="false"/>
          <w:i w:val="false"/>
          <w:color w:val="000000"/>
          <w:sz w:val="28"/>
        </w:rPr>
        <w:t xml:space="preserve">
      </w:t>
      </w:r>
    </w:p>
    <w:bookmarkEnd w:id="15"/>
    <w:p>
      <w:pPr>
        <w:spacing w:after="0"/>
        <w:ind w:left="0"/>
        <w:jc w:val="both"/>
      </w:pPr>
      <w:r>
        <w:drawing>
          <wp:inline distT="0" distB="0" distL="0" distR="0">
            <wp:extent cx="7810500" cy="11036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7810500" cy="11036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26" w:id="16"/>
    <w:p>
      <w:pPr>
        <w:spacing w:after="0"/>
        <w:ind w:left="0"/>
        <w:jc w:val="both"/>
      </w:pPr>
      <w:r>
        <w:rPr>
          <w:rFonts w:ascii="Times New Roman"/>
          <w:b w:val="false"/>
          <w:i w:val="false"/>
          <w:color w:val="000000"/>
          <w:sz w:val="28"/>
        </w:rPr>
        <w:t xml:space="preserve">
      </w:t>
      </w:r>
    </w:p>
    <w:bookmarkEnd w:id="16"/>
    <w:p>
      <w:pPr>
        <w:spacing w:after="0"/>
        <w:ind w:left="0"/>
        <w:jc w:val="both"/>
      </w:pPr>
      <w:r>
        <w:drawing>
          <wp:inline distT="0" distB="0" distL="0" distR="0">
            <wp:extent cx="7810500" cy="11036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7810500" cy="11036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27" w:id="17"/>
    <w:p>
      <w:pPr>
        <w:spacing w:after="0"/>
        <w:ind w:left="0"/>
        <w:jc w:val="both"/>
      </w:pPr>
      <w:r>
        <w:rPr>
          <w:rFonts w:ascii="Times New Roman"/>
          <w:b w:val="false"/>
          <w:i w:val="false"/>
          <w:color w:val="000000"/>
          <w:sz w:val="28"/>
        </w:rPr>
        <w:t>
      Календарный график по использованию пастбищ, устанавливающий сезонные маршруты выпаса и передвижения сельскохозяйственных животных по району Т.Рыскулова</w:t>
      </w:r>
    </w:p>
    <w:bookmarkEnd w:id="1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37"/>
        <w:gridCol w:w="1054"/>
        <w:gridCol w:w="4570"/>
        <w:gridCol w:w="4570"/>
        <w:gridCol w:w="469"/>
      </w:tblGrid>
      <w:tr>
        <w:trPr>
          <w:trHeight w:val="30" w:hRule="atLeast"/>
        </w:trPr>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П/н</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сельского округа</w:t>
            </w:r>
          </w:p>
        </w:tc>
        <w:tc>
          <w:tcPr>
            <w:tcW w:w="4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Время прибытие животных от отдаленных пастбищ (пустынно-степной, горно степной территории)</w:t>
            </w:r>
          </w:p>
        </w:tc>
        <w:tc>
          <w:tcPr>
            <w:tcW w:w="4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Время возврата животных от отдаленных пастбищ (пустынно-степной, горно степной территории)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r>
      <w:tr>
        <w:trPr>
          <w:trHeight w:val="30" w:hRule="atLeast"/>
        </w:trPr>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Когершин</w:t>
            </w:r>
          </w:p>
        </w:tc>
        <w:tc>
          <w:tcPr>
            <w:tcW w:w="4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І-декада апрель, май месяцев</w:t>
            </w:r>
          </w:p>
        </w:tc>
        <w:tc>
          <w:tcPr>
            <w:tcW w:w="4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ІІ-декада август, октябрь месяцев</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Корагаты</w:t>
            </w:r>
          </w:p>
        </w:tc>
        <w:tc>
          <w:tcPr>
            <w:tcW w:w="4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І-декада апрель, май месяцев</w:t>
            </w:r>
          </w:p>
        </w:tc>
        <w:tc>
          <w:tcPr>
            <w:tcW w:w="4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ІІ-декада август, октябрь месяцев</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Кулан</w:t>
            </w:r>
          </w:p>
        </w:tc>
        <w:tc>
          <w:tcPr>
            <w:tcW w:w="4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І-декада апрель, май месяцев</w:t>
            </w:r>
          </w:p>
        </w:tc>
        <w:tc>
          <w:tcPr>
            <w:tcW w:w="4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ІІ-декада август, октябрь месяцев</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Кайынды</w:t>
            </w:r>
          </w:p>
        </w:tc>
        <w:tc>
          <w:tcPr>
            <w:tcW w:w="4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І-декада апрель, май месяцев</w:t>
            </w:r>
          </w:p>
        </w:tc>
        <w:tc>
          <w:tcPr>
            <w:tcW w:w="4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ІІ-декада август, октябрь месяцев</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Орнек</w:t>
            </w:r>
          </w:p>
        </w:tc>
        <w:tc>
          <w:tcPr>
            <w:tcW w:w="4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І-декада апрель, май месяцев</w:t>
            </w:r>
          </w:p>
        </w:tc>
        <w:tc>
          <w:tcPr>
            <w:tcW w:w="4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ІІ-декада август, октябрь месяцев</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Теренозек</w:t>
            </w:r>
          </w:p>
        </w:tc>
        <w:tc>
          <w:tcPr>
            <w:tcW w:w="4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І-декада апрель, май месяцев</w:t>
            </w:r>
          </w:p>
        </w:tc>
        <w:tc>
          <w:tcPr>
            <w:tcW w:w="4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ІІ-декада август, октябрь месяцев</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Новосель</w:t>
            </w:r>
          </w:p>
        </w:tc>
        <w:tc>
          <w:tcPr>
            <w:tcW w:w="4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І-декада апрель, май месяцев</w:t>
            </w:r>
          </w:p>
        </w:tc>
        <w:tc>
          <w:tcPr>
            <w:tcW w:w="4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ІІ-декада август, октябрь месяцев</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Акыртобе</w:t>
            </w:r>
          </w:p>
        </w:tc>
        <w:tc>
          <w:tcPr>
            <w:tcW w:w="4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І-декада апрель, май месяцев</w:t>
            </w:r>
          </w:p>
        </w:tc>
        <w:tc>
          <w:tcPr>
            <w:tcW w:w="4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ІІ-декада август, октябрь месяцев</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Луговой</w:t>
            </w:r>
          </w:p>
        </w:tc>
        <w:tc>
          <w:tcPr>
            <w:tcW w:w="4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І-декада апрель, май месяцев</w:t>
            </w:r>
          </w:p>
        </w:tc>
        <w:tc>
          <w:tcPr>
            <w:tcW w:w="4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ІІ-декада август, октябрь месяцев</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w:t>
            </w:r>
          </w:p>
        </w:tc>
        <w:tc>
          <w:tcPr>
            <w:tcW w:w="4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І-декада апрель, май месяцев</w:t>
            </w:r>
          </w:p>
        </w:tc>
        <w:tc>
          <w:tcPr>
            <w:tcW w:w="4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ІІ-декада август, октябрь месяцев</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Каракыстак</w:t>
            </w:r>
          </w:p>
        </w:tc>
        <w:tc>
          <w:tcPr>
            <w:tcW w:w="4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І-декада апрель, май месяцев</w:t>
            </w:r>
          </w:p>
        </w:tc>
        <w:tc>
          <w:tcPr>
            <w:tcW w:w="4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ІІ-декада август, октябрь месяцев</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Акбулак</w:t>
            </w:r>
          </w:p>
        </w:tc>
        <w:tc>
          <w:tcPr>
            <w:tcW w:w="4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І-декада апрель, май месяцев</w:t>
            </w:r>
          </w:p>
        </w:tc>
        <w:tc>
          <w:tcPr>
            <w:tcW w:w="4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ІІ-декада август, октябрь месяцев</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Жанатурмыс</w:t>
            </w:r>
          </w:p>
        </w:tc>
        <w:tc>
          <w:tcPr>
            <w:tcW w:w="4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І-декада апрель, май месяцев</w:t>
            </w:r>
          </w:p>
        </w:tc>
        <w:tc>
          <w:tcPr>
            <w:tcW w:w="4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ІІ-декада август, октябрь месяцев</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Кумарык</w:t>
            </w:r>
          </w:p>
        </w:tc>
        <w:tc>
          <w:tcPr>
            <w:tcW w:w="4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І-декада апрель, май месяцев</w:t>
            </w:r>
          </w:p>
        </w:tc>
        <w:tc>
          <w:tcPr>
            <w:tcW w:w="4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ІІ-декада август, октябрь месяцев</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Кокдонен</w:t>
            </w:r>
          </w:p>
        </w:tc>
        <w:tc>
          <w:tcPr>
            <w:tcW w:w="4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І-декада апрель, май месяцев</w:t>
            </w:r>
          </w:p>
        </w:tc>
        <w:tc>
          <w:tcPr>
            <w:tcW w:w="4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ІІ-декада август, октябрь месяцев</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8" w:id="18"/>
    <w:p>
      <w:pPr>
        <w:spacing w:after="0"/>
        <w:ind w:left="0"/>
        <w:jc w:val="left"/>
      </w:pPr>
      <w:r>
        <w:rPr>
          <w:rFonts w:ascii="Times New Roman"/>
          <w:b/>
          <w:i w:val="false"/>
          <w:color w:val="000000"/>
        </w:rPr>
        <w:t xml:space="preserve"> I. Сведений о состоянии геоботанического обследования пастбищ по району Т.Рыскулова</w:t>
      </w:r>
    </w:p>
    <w:bookmarkEnd w:id="18"/>
    <w:bookmarkStart w:name="z29" w:id="19"/>
    <w:p>
      <w:pPr>
        <w:spacing w:after="0"/>
        <w:ind w:left="0"/>
        <w:jc w:val="left"/>
      </w:pPr>
      <w:r>
        <w:rPr>
          <w:rFonts w:ascii="Times New Roman"/>
          <w:b/>
          <w:i w:val="false"/>
          <w:color w:val="000000"/>
        </w:rPr>
        <w:t xml:space="preserve"> 1. Общая информация</w:t>
      </w:r>
    </w:p>
    <w:bookmarkEnd w:id="19"/>
    <w:bookmarkStart w:name="z30" w:id="20"/>
    <w:p>
      <w:pPr>
        <w:spacing w:after="0"/>
        <w:ind w:left="0"/>
        <w:jc w:val="both"/>
      </w:pPr>
      <w:r>
        <w:rPr>
          <w:rFonts w:ascii="Times New Roman"/>
          <w:b w:val="false"/>
          <w:i w:val="false"/>
          <w:color w:val="000000"/>
          <w:sz w:val="28"/>
        </w:rPr>
        <w:t>
      Южная часть района является горной. Там расположены горы Ойранды, Каракыстак, Сулутор, Шонгер, Кокдонен, Когершин, Мынбель Центральную и северную часть района составляет равнина. На севере граничит песками Мойынкум.</w:t>
      </w:r>
    </w:p>
    <w:bookmarkEnd w:id="20"/>
    <w:bookmarkStart w:name="z31" w:id="21"/>
    <w:p>
      <w:pPr>
        <w:spacing w:after="0"/>
        <w:ind w:left="0"/>
        <w:jc w:val="both"/>
      </w:pPr>
      <w:r>
        <w:rPr>
          <w:rFonts w:ascii="Times New Roman"/>
          <w:b w:val="false"/>
          <w:i w:val="false"/>
          <w:color w:val="000000"/>
          <w:sz w:val="28"/>
        </w:rPr>
        <w:t>
      Климат района континентальный, зима несколько мягкая, лето жаркое. Средняя температура воздуха января месяца составляет -6-8 С, соответственно июль +20 С- +25 С. Годовая площадь дождя в равнинных землях составляет до 200-250 миллиметров, в горной местности и в горах до 450-500 миллиметров. Почва темноватая и голо-серого цвета, пурпурная, темно-коричневая и черноземная почва</w:t>
      </w:r>
    </w:p>
    <w:bookmarkEnd w:id="21"/>
    <w:bookmarkStart w:name="z32" w:id="22"/>
    <w:p>
      <w:pPr>
        <w:spacing w:after="0"/>
        <w:ind w:left="0"/>
        <w:jc w:val="both"/>
      </w:pPr>
      <w:r>
        <w:rPr>
          <w:rFonts w:ascii="Times New Roman"/>
          <w:b w:val="false"/>
          <w:i w:val="false"/>
          <w:color w:val="000000"/>
          <w:sz w:val="28"/>
        </w:rPr>
        <w:t xml:space="preserve">
      Основной сельскохозяйственной деятельностью района является земледелье и животноводство. В разновидность которого входит скотоводство, производство мясных и молочных продукций, выращивание зерновых культур. Выращиваются такие разновидности как: пшеница, ячмень, кукуруза, арбуз и так далее в том числе для кормления скота выращиваются многолетние травы. В связи с интенсивным развитием скотоводства в районе возрастает объем использование пастбищных угодий. </w:t>
      </w:r>
    </w:p>
    <w:bookmarkEnd w:id="22"/>
    <w:bookmarkStart w:name="z33" w:id="23"/>
    <w:p>
      <w:pPr>
        <w:spacing w:after="0"/>
        <w:ind w:left="0"/>
        <w:jc w:val="both"/>
      </w:pPr>
      <w:r>
        <w:rPr>
          <w:rFonts w:ascii="Times New Roman"/>
          <w:b w:val="false"/>
          <w:i w:val="false"/>
          <w:color w:val="000000"/>
          <w:sz w:val="28"/>
        </w:rPr>
        <w:t>
      Содержание животных в районе в течении года делится на два вида по сезонам. Летний сезон пастбищ начинается в конце апреля - начале мая и заканчивается в конце октября - начале ноября. Зимой крупный рогатый скот содержится за счет кормовых культур, изготовленных из натуральных трав и зерновых культур, которые выращены из плодотворных семян на территории района.</w:t>
      </w:r>
    </w:p>
    <w:bookmarkEnd w:id="23"/>
    <w:bookmarkStart w:name="z34" w:id="24"/>
    <w:p>
      <w:pPr>
        <w:spacing w:after="0"/>
        <w:ind w:left="0"/>
        <w:jc w:val="left"/>
      </w:pPr>
      <w:r>
        <w:rPr>
          <w:rFonts w:ascii="Times New Roman"/>
          <w:b/>
          <w:i w:val="false"/>
          <w:color w:val="000000"/>
        </w:rPr>
        <w:t xml:space="preserve"> Площади земли района Т.Рыскулова выделенные по категориям</w:t>
      </w:r>
    </w:p>
    <w:bookmarkEnd w:id="24"/>
    <w:bookmarkStart w:name="z35" w:id="25"/>
    <w:p>
      <w:pPr>
        <w:spacing w:after="0"/>
        <w:ind w:left="0"/>
        <w:jc w:val="both"/>
      </w:pPr>
      <w:r>
        <w:rPr>
          <w:rFonts w:ascii="Times New Roman"/>
          <w:b w:val="false"/>
          <w:i w:val="false"/>
          <w:color w:val="000000"/>
          <w:sz w:val="28"/>
        </w:rPr>
        <w:t>
      Общая площадь земель района 906106,9 гектаров, из них пастбищные земли – 567547,1 гектар.</w:t>
      </w:r>
    </w:p>
    <w:bookmarkEnd w:id="25"/>
    <w:bookmarkStart w:name="z36" w:id="26"/>
    <w:p>
      <w:pPr>
        <w:spacing w:after="0"/>
        <w:ind w:left="0"/>
        <w:jc w:val="both"/>
      </w:pPr>
      <w:r>
        <w:rPr>
          <w:rFonts w:ascii="Times New Roman"/>
          <w:b w:val="false"/>
          <w:i w:val="false"/>
          <w:color w:val="000000"/>
          <w:sz w:val="28"/>
        </w:rPr>
        <w:t>
      По категориям земли подразделяются на:</w:t>
      </w:r>
    </w:p>
    <w:bookmarkEnd w:id="26"/>
    <w:bookmarkStart w:name="z37" w:id="27"/>
    <w:p>
      <w:pPr>
        <w:spacing w:after="0"/>
        <w:ind w:left="0"/>
        <w:jc w:val="both"/>
      </w:pPr>
      <w:r>
        <w:rPr>
          <w:rFonts w:ascii="Times New Roman"/>
          <w:b w:val="false"/>
          <w:i w:val="false"/>
          <w:color w:val="000000"/>
          <w:sz w:val="28"/>
        </w:rPr>
        <w:t>
      земли сельскохозяйственного назначения – 752709,1 гектар;</w:t>
      </w:r>
    </w:p>
    <w:bookmarkEnd w:id="27"/>
    <w:bookmarkStart w:name="z38" w:id="28"/>
    <w:p>
      <w:pPr>
        <w:spacing w:after="0"/>
        <w:ind w:left="0"/>
        <w:jc w:val="both"/>
      </w:pPr>
      <w:r>
        <w:rPr>
          <w:rFonts w:ascii="Times New Roman"/>
          <w:b w:val="false"/>
          <w:i w:val="false"/>
          <w:color w:val="000000"/>
          <w:sz w:val="28"/>
        </w:rPr>
        <w:t>
      земли населенных пунктов – 32316,8 гектар;</w:t>
      </w:r>
    </w:p>
    <w:bookmarkEnd w:id="28"/>
    <w:bookmarkStart w:name="z39" w:id="29"/>
    <w:p>
      <w:pPr>
        <w:spacing w:after="0"/>
        <w:ind w:left="0"/>
        <w:jc w:val="both"/>
      </w:pPr>
      <w:r>
        <w:rPr>
          <w:rFonts w:ascii="Times New Roman"/>
          <w:b w:val="false"/>
          <w:i w:val="false"/>
          <w:color w:val="000000"/>
          <w:sz w:val="28"/>
        </w:rPr>
        <w:t>
      земли промышленности, транспорта, связи, для нужд космической деятельности, обороны, национальной безопасности и иного не сельскохозяйственного назначения – 13003,4 гектар;</w:t>
      </w:r>
    </w:p>
    <w:bookmarkEnd w:id="29"/>
    <w:bookmarkStart w:name="z40" w:id="30"/>
    <w:p>
      <w:pPr>
        <w:spacing w:after="0"/>
        <w:ind w:left="0"/>
        <w:jc w:val="both"/>
      </w:pPr>
      <w:r>
        <w:rPr>
          <w:rFonts w:ascii="Times New Roman"/>
          <w:b w:val="false"/>
          <w:i w:val="false"/>
          <w:color w:val="000000"/>
          <w:sz w:val="28"/>
        </w:rPr>
        <w:t>
      земли лесного фонда – 61853,0 гектар;</w:t>
      </w:r>
    </w:p>
    <w:bookmarkEnd w:id="30"/>
    <w:bookmarkStart w:name="z41" w:id="31"/>
    <w:p>
      <w:pPr>
        <w:spacing w:after="0"/>
        <w:ind w:left="0"/>
        <w:jc w:val="both"/>
      </w:pPr>
      <w:r>
        <w:rPr>
          <w:rFonts w:ascii="Times New Roman"/>
          <w:b w:val="false"/>
          <w:i w:val="false"/>
          <w:color w:val="000000"/>
          <w:sz w:val="28"/>
        </w:rPr>
        <w:t>
      земли водного фонда – 908,9 гектар;</w:t>
      </w:r>
    </w:p>
    <w:bookmarkEnd w:id="31"/>
    <w:bookmarkStart w:name="z42" w:id="32"/>
    <w:p>
      <w:pPr>
        <w:spacing w:after="0"/>
        <w:ind w:left="0"/>
        <w:jc w:val="both"/>
      </w:pPr>
      <w:r>
        <w:rPr>
          <w:rFonts w:ascii="Times New Roman"/>
          <w:b w:val="false"/>
          <w:i w:val="false"/>
          <w:color w:val="000000"/>
          <w:sz w:val="28"/>
        </w:rPr>
        <w:t>
      земли запаса – 45315,7 гектар.</w:t>
      </w:r>
    </w:p>
    <w:bookmarkEnd w:id="32"/>
    <w:bookmarkStart w:name="z43" w:id="33"/>
    <w:p>
      <w:pPr>
        <w:spacing w:after="0"/>
        <w:ind w:left="0"/>
        <w:jc w:val="both"/>
      </w:pPr>
      <w:r>
        <w:rPr>
          <w:rFonts w:ascii="Times New Roman"/>
          <w:b w:val="false"/>
          <w:i w:val="false"/>
          <w:color w:val="000000"/>
          <w:sz w:val="28"/>
        </w:rPr>
        <w:t>
      В Т.Рыскуловском районе по данным земельного баланса всего числится 752709,1 сельскохозяйственных формирований на общей площади 906106,9 тысячи гектар, в том числе пастбищ 567547,1 тысячи гектар, из них:</w:t>
      </w:r>
    </w:p>
    <w:bookmarkEnd w:id="33"/>
    <w:bookmarkStart w:name="z44" w:id="34"/>
    <w:p>
      <w:pPr>
        <w:spacing w:after="0"/>
        <w:ind w:left="0"/>
        <w:jc w:val="both"/>
      </w:pPr>
      <w:r>
        <w:rPr>
          <w:rFonts w:ascii="Times New Roman"/>
          <w:b w:val="false"/>
          <w:i w:val="false"/>
          <w:color w:val="000000"/>
          <w:sz w:val="28"/>
        </w:rPr>
        <w:t>
      крестьянских и фермерских хозяйств 567776,6 на площади 746569 тысяча гектар, в том числе пастбищ 429162,2 тысяч гектар;</w:t>
      </w:r>
    </w:p>
    <w:bookmarkEnd w:id="34"/>
    <w:bookmarkStart w:name="z45" w:id="35"/>
    <w:p>
      <w:pPr>
        <w:spacing w:after="0"/>
        <w:ind w:left="0"/>
        <w:jc w:val="both"/>
      </w:pPr>
      <w:r>
        <w:rPr>
          <w:rFonts w:ascii="Times New Roman"/>
          <w:b w:val="false"/>
          <w:i w:val="false"/>
          <w:color w:val="000000"/>
          <w:sz w:val="28"/>
        </w:rPr>
        <w:t>
      хозяйственных товариществ, акционерных обществ и сельхоз кооперативов 43 на площади 178792,6 тысячи гектар, в том числе пастбищ 133749,9 тысяча гектар;</w:t>
      </w:r>
    </w:p>
    <w:bookmarkEnd w:id="35"/>
    <w:bookmarkStart w:name="z46" w:id="36"/>
    <w:p>
      <w:pPr>
        <w:spacing w:after="0"/>
        <w:ind w:left="0"/>
        <w:jc w:val="both"/>
      </w:pPr>
      <w:r>
        <w:rPr>
          <w:rFonts w:ascii="Times New Roman"/>
          <w:b w:val="false"/>
          <w:i w:val="false"/>
          <w:color w:val="000000"/>
          <w:sz w:val="28"/>
        </w:rPr>
        <w:t>
      государственных сельскохозяйственных юридических лиц 7 на площади 6135,9 тысяча гектар, в том числе пастбищ 4635,0 тысяча гектар.</w:t>
      </w:r>
    </w:p>
    <w:bookmarkEnd w:id="36"/>
    <w:bookmarkStart w:name="z47" w:id="37"/>
    <w:p>
      <w:pPr>
        <w:spacing w:after="0"/>
        <w:ind w:left="0"/>
        <w:jc w:val="left"/>
      </w:pPr>
      <w:r>
        <w:rPr>
          <w:rFonts w:ascii="Times New Roman"/>
          <w:b/>
          <w:i w:val="false"/>
          <w:color w:val="000000"/>
        </w:rPr>
        <w:t xml:space="preserve"> 2. Рельеф земли</w:t>
      </w:r>
    </w:p>
    <w:bookmarkEnd w:id="37"/>
    <w:bookmarkStart w:name="z48" w:id="38"/>
    <w:p>
      <w:pPr>
        <w:spacing w:after="0"/>
        <w:ind w:left="0"/>
        <w:jc w:val="both"/>
      </w:pPr>
      <w:r>
        <w:rPr>
          <w:rFonts w:ascii="Times New Roman"/>
          <w:b w:val="false"/>
          <w:i w:val="false"/>
          <w:color w:val="000000"/>
          <w:sz w:val="28"/>
        </w:rPr>
        <w:t>
      Территория района находится в равномерной плоскости, местами рельеф меняется холмами и неровностями, так же имеются 9 малоҰмки водоҰмов.</w:t>
      </w:r>
    </w:p>
    <w:bookmarkEnd w:id="38"/>
    <w:bookmarkStart w:name="z49" w:id="39"/>
    <w:p>
      <w:pPr>
        <w:spacing w:after="0"/>
        <w:ind w:left="0"/>
        <w:jc w:val="both"/>
      </w:pPr>
      <w:r>
        <w:rPr>
          <w:rFonts w:ascii="Times New Roman"/>
          <w:b w:val="false"/>
          <w:i w:val="false"/>
          <w:color w:val="000000"/>
          <w:sz w:val="28"/>
        </w:rPr>
        <w:t>
      Особенность рельефа заключается в том, что основную часть составляют заросли и степи. В различных территориях разбросанные малыми деревьями как тополь и карагач, а равнины различаются своими лугами и болотами.</w:t>
      </w:r>
    </w:p>
    <w:bookmarkEnd w:id="39"/>
    <w:bookmarkStart w:name="z50" w:id="40"/>
    <w:p>
      <w:pPr>
        <w:spacing w:after="0"/>
        <w:ind w:left="0"/>
        <w:jc w:val="both"/>
      </w:pPr>
      <w:r>
        <w:rPr>
          <w:rFonts w:ascii="Times New Roman"/>
          <w:b w:val="false"/>
          <w:i w:val="false"/>
          <w:color w:val="000000"/>
          <w:sz w:val="28"/>
        </w:rPr>
        <w:t>
      Природные условия Т.Рыскуловского района, включая климат, почву и ландшафт идеально подходят для сельскохозяйственной деятельности. Его плодородная земля очень комфортна для использования и получения естественных и высокопроизводительных результатов при выращивании различных сельскохозяйственных культур.</w:t>
      </w:r>
    </w:p>
    <w:bookmarkEnd w:id="40"/>
    <w:bookmarkStart w:name="z51" w:id="41"/>
    <w:p>
      <w:pPr>
        <w:spacing w:after="0"/>
        <w:ind w:left="0"/>
        <w:jc w:val="both"/>
      </w:pPr>
      <w:r>
        <w:rPr>
          <w:rFonts w:ascii="Times New Roman"/>
          <w:b w:val="false"/>
          <w:i w:val="false"/>
          <w:color w:val="000000"/>
          <w:sz w:val="28"/>
        </w:rPr>
        <w:t>
      Микрорельеф, то есть земная поверхность соответствует сложно-системным слоям почвы. Значительная часть поверхности почвы подходит для использования в районе выращивания и уборки сельскохозяйственных культур, обработки почвы и подходит для животноводства, то есть ландшафт очень удобен для механической обработки почв и выращивания сельскохозяйственных продуктов питания.</w:t>
      </w:r>
    </w:p>
    <w:bookmarkEnd w:id="41"/>
    <w:bookmarkStart w:name="z52" w:id="42"/>
    <w:p>
      <w:pPr>
        <w:spacing w:after="0"/>
        <w:ind w:left="0"/>
        <w:jc w:val="left"/>
      </w:pPr>
      <w:r>
        <w:rPr>
          <w:rFonts w:ascii="Times New Roman"/>
          <w:b/>
          <w:i w:val="false"/>
          <w:color w:val="000000"/>
        </w:rPr>
        <w:t xml:space="preserve"> 3. Растения</w:t>
      </w:r>
    </w:p>
    <w:bookmarkEnd w:id="42"/>
    <w:bookmarkStart w:name="z53" w:id="43"/>
    <w:p>
      <w:pPr>
        <w:spacing w:after="0"/>
        <w:ind w:left="0"/>
        <w:jc w:val="both"/>
      </w:pPr>
      <w:r>
        <w:rPr>
          <w:rFonts w:ascii="Times New Roman"/>
          <w:b w:val="false"/>
          <w:i w:val="false"/>
          <w:color w:val="000000"/>
          <w:sz w:val="28"/>
        </w:rPr>
        <w:t>
      Растительность, создавая биологическую миграцию в аккумуляции зольных веществ является главным фактором почвообразования. Видовое разнообразие растительности, ареал и характер распространения находятся в прямой зависимости от климатического фона, глубины залегания грунтовых вод, рельефа местности произрастания и от деятельности человека на территориях вовлеченных в сельскохозяйственное производство. Растительность горной части, где распространены горные темно-каштановые и светло-каштановые почвы, представлена типчаково-ковыльной, калтыковой и злаково-полынной ассоциациями. Среди растений преобладающими являются ковыль и типчак, а также калтык (дикий ячмень) и другие. Проективное покрытие почвы растительностью колеблется от 30% до 70 %.</w:t>
      </w:r>
    </w:p>
    <w:bookmarkEnd w:id="43"/>
    <w:bookmarkStart w:name="z54" w:id="44"/>
    <w:p>
      <w:pPr>
        <w:spacing w:after="0"/>
        <w:ind w:left="0"/>
        <w:jc w:val="both"/>
      </w:pPr>
      <w:r>
        <w:rPr>
          <w:rFonts w:ascii="Times New Roman"/>
          <w:b w:val="false"/>
          <w:i w:val="false"/>
          <w:color w:val="000000"/>
          <w:sz w:val="28"/>
        </w:rPr>
        <w:t>
      В районе предгорной и подгорной слабонаклонной равнины на обыкновенных сероземах растительность представлена полынно-степной ассоциацией. Преобладающими из растений являются. Полынь серая, осочка пустынная, мятлик, эбелек, ковыль и др. Проективное покрытие почвы растительностью составляет около 20-30 %.</w:t>
      </w:r>
    </w:p>
    <w:bookmarkEnd w:id="44"/>
    <w:bookmarkStart w:name="z55" w:id="45"/>
    <w:p>
      <w:pPr>
        <w:spacing w:after="0"/>
        <w:ind w:left="0"/>
        <w:jc w:val="both"/>
      </w:pPr>
      <w:r>
        <w:rPr>
          <w:rFonts w:ascii="Times New Roman"/>
          <w:b w:val="false"/>
          <w:i w:val="false"/>
          <w:color w:val="000000"/>
          <w:sz w:val="28"/>
        </w:rPr>
        <w:t>
      В районе сазовой равнины, где почвенный покров более разнообразен, растительность по сравнению с предгорной частью тоже более разнообразна.</w:t>
      </w:r>
    </w:p>
    <w:bookmarkEnd w:id="45"/>
    <w:bookmarkStart w:name="z56" w:id="46"/>
    <w:p>
      <w:pPr>
        <w:spacing w:after="0"/>
        <w:ind w:left="0"/>
        <w:jc w:val="both"/>
      </w:pPr>
      <w:r>
        <w:rPr>
          <w:rFonts w:ascii="Times New Roman"/>
          <w:b w:val="false"/>
          <w:i w:val="false"/>
          <w:color w:val="000000"/>
          <w:sz w:val="28"/>
        </w:rPr>
        <w:t>
      Если на обыкновенных сероземах растительность представлена эфемеро-полынно-степной растительностью, то уже на более пониженных участках района к лугово-сероземным и сероземно-луговым почвам приурочен полынно-злаковый с разнотравьем травостой (пырей, лебеда, свинорой, сафора, горчак, татрник и др).</w:t>
      </w:r>
    </w:p>
    <w:bookmarkEnd w:id="46"/>
    <w:bookmarkStart w:name="z57" w:id="47"/>
    <w:p>
      <w:pPr>
        <w:spacing w:after="0"/>
        <w:ind w:left="0"/>
        <w:jc w:val="left"/>
      </w:pPr>
      <w:r>
        <w:rPr>
          <w:rFonts w:ascii="Times New Roman"/>
          <w:b/>
          <w:i w:val="false"/>
          <w:color w:val="000000"/>
        </w:rPr>
        <w:t xml:space="preserve"> 4. Мощность пастбищ</w:t>
      </w:r>
    </w:p>
    <w:bookmarkEnd w:id="47"/>
    <w:bookmarkStart w:name="z58" w:id="48"/>
    <w:p>
      <w:pPr>
        <w:spacing w:after="0"/>
        <w:ind w:left="0"/>
        <w:jc w:val="both"/>
      </w:pPr>
      <w:r>
        <w:rPr>
          <w:rFonts w:ascii="Times New Roman"/>
          <w:b w:val="false"/>
          <w:i w:val="false"/>
          <w:color w:val="000000"/>
          <w:sz w:val="28"/>
        </w:rPr>
        <w:t>
      Определение пастбищного потенциала было основано на данных о его производительности в период пастбищ. Приблизительно были получены следующие нормы зеленой травы (в среднем одна голова): крупный рогатый скот - 4 килограмма, мелкий рогатый скот - 2 килограмма, лошадь - 6 килограмм. Продолжительность пастбищного периода составляет 180-200 дней. Таким образом, можно определить способность пастбища, зная пастбищный продукт, необходимость в один день корма для животных, продолжительность пастбищного периода.</w:t>
      </w:r>
    </w:p>
    <w:bookmarkEnd w:id="48"/>
    <w:bookmarkStart w:name="z59" w:id="49"/>
    <w:p>
      <w:pPr>
        <w:spacing w:after="0"/>
        <w:ind w:left="0"/>
        <w:jc w:val="both"/>
      </w:pPr>
      <w:r>
        <w:rPr>
          <w:rFonts w:ascii="Times New Roman"/>
          <w:b w:val="false"/>
          <w:i w:val="false"/>
          <w:color w:val="000000"/>
          <w:sz w:val="28"/>
        </w:rPr>
        <w:t>
      Средняя продуктивность пастбищ, то есть сухая масса 3,3 центнера с гектара, продолжительность 180 дней, даты начала одного из выпаса скота пастбища, необходима 4 килограмм зеленой пищи на всех этапах требуется 4 * 180 = 720 килограмм или 7,2 центнер.</w:t>
      </w:r>
    </w:p>
    <w:bookmarkEnd w:id="49"/>
    <w:bookmarkStart w:name="z60" w:id="50"/>
    <w:p>
      <w:pPr>
        <w:spacing w:after="0"/>
        <w:ind w:left="0"/>
        <w:jc w:val="left"/>
      </w:pPr>
      <w:r>
        <w:rPr>
          <w:rFonts w:ascii="Times New Roman"/>
          <w:b/>
          <w:i w:val="false"/>
          <w:color w:val="000000"/>
        </w:rPr>
        <w:t xml:space="preserve">  Сведений о ветеринарно-санитарных объектах по району Т.Рыскулова</w:t>
      </w:r>
    </w:p>
    <w:bookmarkEnd w:id="5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25"/>
        <w:gridCol w:w="1498"/>
        <w:gridCol w:w="2326"/>
        <w:gridCol w:w="2326"/>
        <w:gridCol w:w="2326"/>
        <w:gridCol w:w="1499"/>
      </w:tblGrid>
      <w:tr>
        <w:trPr>
          <w:trHeight w:val="30" w:hRule="atLeast"/>
        </w:trPr>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П/н, №</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селького округа</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Ветеринарные пункты</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Места купания животных</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Пункты случек</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Места захоронения животных</w:t>
            </w:r>
          </w:p>
        </w:tc>
      </w:tr>
      <w:tr>
        <w:trPr>
          <w:trHeight w:val="30" w:hRule="atLeast"/>
        </w:trPr>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Жанатурмыс</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Каракыстак</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Карагаты</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Акбулак</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Луговой</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Кулан</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Кокдонен</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Когершин</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Кумарық</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Новосель</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Орнек</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Акыртобе</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Теренозек</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Кайынды</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bl>
    <w:bookmarkStart w:name="z61" w:id="51"/>
    <w:p>
      <w:pPr>
        <w:spacing w:after="0"/>
        <w:ind w:left="0"/>
        <w:jc w:val="left"/>
      </w:pPr>
      <w:r>
        <w:rPr>
          <w:rFonts w:ascii="Times New Roman"/>
          <w:b/>
          <w:i w:val="false"/>
          <w:color w:val="000000"/>
        </w:rPr>
        <w:t xml:space="preserve"> Особенности выпаса сельскохозяйственных животных на культурных и аридных пастбищах по району Т.Рыскулова</w:t>
      </w:r>
    </w:p>
    <w:bookmarkEnd w:id="51"/>
    <w:bookmarkStart w:name="z62" w:id="52"/>
    <w:p>
      <w:pPr>
        <w:spacing w:after="0"/>
        <w:ind w:left="0"/>
        <w:jc w:val="both"/>
      </w:pPr>
      <w:r>
        <w:rPr>
          <w:rFonts w:ascii="Times New Roman"/>
          <w:b w:val="false"/>
          <w:i w:val="false"/>
          <w:color w:val="000000"/>
          <w:sz w:val="28"/>
        </w:rPr>
        <w:t>
      Несмотря на то, что его основная часть составляет равнинную землю, природа района Т.Рыскулова обособлена своим разнообразием. Южная часть района является горной. Там расположены горы Ойранды, Каракыстак, Сулутор, Шонгер, Кокдонен, Когершин, Мынбель.</w:t>
      </w:r>
    </w:p>
    <w:bookmarkEnd w:id="52"/>
    <w:bookmarkStart w:name="z63" w:id="53"/>
    <w:p>
      <w:pPr>
        <w:spacing w:after="0"/>
        <w:ind w:left="0"/>
        <w:jc w:val="both"/>
      </w:pPr>
      <w:r>
        <w:rPr>
          <w:rFonts w:ascii="Times New Roman"/>
          <w:b w:val="false"/>
          <w:i w:val="false"/>
          <w:color w:val="000000"/>
          <w:sz w:val="28"/>
        </w:rPr>
        <w:t>
      Центральную и северную часть района составляет равнина. На севере граничит с песками Мойынкум. Подводные воды и строительные материалы были исследованы в недрах. Климат района континентальный, зима несколько мягкая, лето жаркое. Средняя температура воздуха января месяца составляет 6-8 С, соответственно июль +20 С- +25 С. Годовая площадь дождя в равнинных землях составляет до 200-250 миллиметров, в горной местности и в горах до 450-500 миллиметров. Почва темноватая и голо-серого цвета, пурпурная, темно-коричневая и черноземная почва.</w:t>
      </w:r>
    </w:p>
    <w:bookmarkEnd w:id="53"/>
    <w:bookmarkStart w:name="z64" w:id="54"/>
    <w:p>
      <w:pPr>
        <w:spacing w:after="0"/>
        <w:ind w:left="0"/>
        <w:jc w:val="left"/>
      </w:pPr>
      <w:r>
        <w:rPr>
          <w:rFonts w:ascii="Times New Roman"/>
          <w:b/>
          <w:i w:val="false"/>
          <w:color w:val="000000"/>
        </w:rPr>
        <w:t xml:space="preserve"> Сведения о сервитутах для прогона скота по району Т.Рыскулова</w:t>
      </w:r>
    </w:p>
    <w:bookmarkEnd w:id="54"/>
    <w:bookmarkStart w:name="z65" w:id="55"/>
    <w:p>
      <w:pPr>
        <w:spacing w:after="0"/>
        <w:ind w:left="0"/>
        <w:jc w:val="both"/>
      </w:pPr>
      <w:r>
        <w:rPr>
          <w:rFonts w:ascii="Times New Roman"/>
          <w:b w:val="false"/>
          <w:i w:val="false"/>
          <w:color w:val="000000"/>
          <w:sz w:val="28"/>
        </w:rPr>
        <w:t>
      Норма употребления воды на одного сельскохозяйственного животного во всех сезонах по использованию пастбища учитывая погодные условия составляет:</w:t>
      </w:r>
    </w:p>
    <w:bookmarkEnd w:id="55"/>
    <w:bookmarkStart w:name="z66" w:id="56"/>
    <w:p>
      <w:pPr>
        <w:spacing w:after="0"/>
        <w:ind w:left="0"/>
        <w:jc w:val="both"/>
      </w:pPr>
      <w:r>
        <w:rPr>
          <w:rFonts w:ascii="Times New Roman"/>
          <w:b w:val="false"/>
          <w:i w:val="false"/>
          <w:color w:val="000000"/>
          <w:sz w:val="28"/>
        </w:rPr>
        <w:t>
      Крупно-рогатый скот и лошади, верблюды - 45-60 литров;</w:t>
      </w:r>
    </w:p>
    <w:bookmarkEnd w:id="56"/>
    <w:bookmarkStart w:name="z67" w:id="57"/>
    <w:p>
      <w:pPr>
        <w:spacing w:after="0"/>
        <w:ind w:left="0"/>
        <w:jc w:val="both"/>
      </w:pPr>
      <w:r>
        <w:rPr>
          <w:rFonts w:ascii="Times New Roman"/>
          <w:b w:val="false"/>
          <w:i w:val="false"/>
          <w:color w:val="000000"/>
          <w:sz w:val="28"/>
        </w:rPr>
        <w:t>
      Молодняк 1-2 лет -25-35 литров;</w:t>
      </w:r>
    </w:p>
    <w:bookmarkEnd w:id="57"/>
    <w:bookmarkStart w:name="z68" w:id="58"/>
    <w:p>
      <w:pPr>
        <w:spacing w:after="0"/>
        <w:ind w:left="0"/>
        <w:jc w:val="both"/>
      </w:pPr>
      <w:r>
        <w:rPr>
          <w:rFonts w:ascii="Times New Roman"/>
          <w:b w:val="false"/>
          <w:i w:val="false"/>
          <w:color w:val="000000"/>
          <w:sz w:val="28"/>
        </w:rPr>
        <w:t>
      Молодняк одного года-10-15 литров;</w:t>
      </w:r>
    </w:p>
    <w:bookmarkEnd w:id="58"/>
    <w:bookmarkStart w:name="z69" w:id="59"/>
    <w:p>
      <w:pPr>
        <w:spacing w:after="0"/>
        <w:ind w:left="0"/>
        <w:jc w:val="both"/>
      </w:pPr>
      <w:r>
        <w:rPr>
          <w:rFonts w:ascii="Times New Roman"/>
          <w:b w:val="false"/>
          <w:i w:val="false"/>
          <w:color w:val="000000"/>
          <w:sz w:val="28"/>
        </w:rPr>
        <w:t>
      Для овец и коз составляет - 3-5 литров, ягнят и козлят составляет 1-2 литров.</w:t>
      </w:r>
    </w:p>
    <w:bookmarkEnd w:id="59"/>
    <w:bookmarkStart w:name="z70" w:id="60"/>
    <w:p>
      <w:pPr>
        <w:spacing w:after="0"/>
        <w:ind w:left="0"/>
        <w:jc w:val="left"/>
      </w:pPr>
      <w:r>
        <w:rPr>
          <w:rFonts w:ascii="Times New Roman"/>
          <w:b/>
          <w:i w:val="false"/>
          <w:color w:val="000000"/>
        </w:rPr>
        <w:t xml:space="preserve"> Сведения о скотопрогонах по Рыскуловскому району</w:t>
      </w:r>
    </w:p>
    <w:bookmarkEnd w:id="60"/>
    <w:bookmarkStart w:name="z71" w:id="61"/>
    <w:p>
      <w:pPr>
        <w:spacing w:after="0"/>
        <w:ind w:left="0"/>
        <w:jc w:val="both"/>
      </w:pPr>
      <w:r>
        <w:rPr>
          <w:rFonts w:ascii="Times New Roman"/>
          <w:b w:val="false"/>
          <w:i w:val="false"/>
          <w:color w:val="000000"/>
          <w:sz w:val="28"/>
        </w:rPr>
        <w:t>
      По Рыскуловскому району предназначенные для прогона и переселения сельскохозяйственных животных закреплено всего 11 земельных участков. Общая площадь которых составляет 7536 гектаров, из них:</w:t>
      </w:r>
    </w:p>
    <w:bookmarkEnd w:id="61"/>
    <w:bookmarkStart w:name="z72" w:id="62"/>
    <w:p>
      <w:pPr>
        <w:spacing w:after="0"/>
        <w:ind w:left="0"/>
        <w:jc w:val="both"/>
      </w:pPr>
      <w:r>
        <w:rPr>
          <w:rFonts w:ascii="Times New Roman"/>
          <w:b w:val="false"/>
          <w:i w:val="false"/>
          <w:color w:val="000000"/>
          <w:sz w:val="28"/>
        </w:rPr>
        <w:t>
      Скотопрогон "Каракыстак" – 657 гектаров,</w:t>
      </w:r>
    </w:p>
    <w:bookmarkEnd w:id="62"/>
    <w:bookmarkStart w:name="z73" w:id="63"/>
    <w:p>
      <w:pPr>
        <w:spacing w:after="0"/>
        <w:ind w:left="0"/>
        <w:jc w:val="both"/>
      </w:pPr>
      <w:r>
        <w:rPr>
          <w:rFonts w:ascii="Times New Roman"/>
          <w:b w:val="false"/>
          <w:i w:val="false"/>
          <w:color w:val="000000"/>
          <w:sz w:val="28"/>
        </w:rPr>
        <w:t>
      Скотопрогон "Кулан" – 81 гектар,</w:t>
      </w:r>
    </w:p>
    <w:bookmarkEnd w:id="63"/>
    <w:bookmarkStart w:name="z74" w:id="64"/>
    <w:p>
      <w:pPr>
        <w:spacing w:after="0"/>
        <w:ind w:left="0"/>
        <w:jc w:val="both"/>
      </w:pPr>
      <w:r>
        <w:rPr>
          <w:rFonts w:ascii="Times New Roman"/>
          <w:b w:val="false"/>
          <w:i w:val="false"/>
          <w:color w:val="000000"/>
          <w:sz w:val="28"/>
        </w:rPr>
        <w:t>
      Скотопрогон "Корагаты" – 309 гектаров,</w:t>
      </w:r>
    </w:p>
    <w:bookmarkEnd w:id="64"/>
    <w:bookmarkStart w:name="z75" w:id="65"/>
    <w:p>
      <w:pPr>
        <w:spacing w:after="0"/>
        <w:ind w:left="0"/>
        <w:jc w:val="both"/>
      </w:pPr>
      <w:r>
        <w:rPr>
          <w:rFonts w:ascii="Times New Roman"/>
          <w:b w:val="false"/>
          <w:i w:val="false"/>
          <w:color w:val="000000"/>
          <w:sz w:val="28"/>
        </w:rPr>
        <w:t>
      Скотопрогон "Акбулак" – 1373 гектара,</w:t>
      </w:r>
    </w:p>
    <w:bookmarkEnd w:id="65"/>
    <w:bookmarkStart w:name="z76" w:id="66"/>
    <w:p>
      <w:pPr>
        <w:spacing w:after="0"/>
        <w:ind w:left="0"/>
        <w:jc w:val="both"/>
      </w:pPr>
      <w:r>
        <w:rPr>
          <w:rFonts w:ascii="Times New Roman"/>
          <w:b w:val="false"/>
          <w:i w:val="false"/>
          <w:color w:val="000000"/>
          <w:sz w:val="28"/>
        </w:rPr>
        <w:t>
      Скотопрогон "Кокдонен" – 1638 гектаров,</w:t>
      </w:r>
    </w:p>
    <w:bookmarkEnd w:id="66"/>
    <w:bookmarkStart w:name="z77" w:id="67"/>
    <w:p>
      <w:pPr>
        <w:spacing w:after="0"/>
        <w:ind w:left="0"/>
        <w:jc w:val="both"/>
      </w:pPr>
      <w:r>
        <w:rPr>
          <w:rFonts w:ascii="Times New Roman"/>
          <w:b w:val="false"/>
          <w:i w:val="false"/>
          <w:color w:val="000000"/>
          <w:sz w:val="28"/>
        </w:rPr>
        <w:t>
      Скотопрогон "Когершин" – 589 гектаров,</w:t>
      </w:r>
    </w:p>
    <w:bookmarkEnd w:id="67"/>
    <w:bookmarkStart w:name="z78" w:id="68"/>
    <w:p>
      <w:pPr>
        <w:spacing w:after="0"/>
        <w:ind w:left="0"/>
        <w:jc w:val="both"/>
      </w:pPr>
      <w:r>
        <w:rPr>
          <w:rFonts w:ascii="Times New Roman"/>
          <w:b w:val="false"/>
          <w:i w:val="false"/>
          <w:color w:val="000000"/>
          <w:sz w:val="28"/>
        </w:rPr>
        <w:t>
      Скотопрогон "Кумарык" – 186 гектара,</w:t>
      </w:r>
    </w:p>
    <w:bookmarkEnd w:id="68"/>
    <w:bookmarkStart w:name="z79" w:id="69"/>
    <w:p>
      <w:pPr>
        <w:spacing w:after="0"/>
        <w:ind w:left="0"/>
        <w:jc w:val="both"/>
      </w:pPr>
      <w:r>
        <w:rPr>
          <w:rFonts w:ascii="Times New Roman"/>
          <w:b w:val="false"/>
          <w:i w:val="false"/>
          <w:color w:val="000000"/>
          <w:sz w:val="28"/>
        </w:rPr>
        <w:t>
      Скотопрогон "Новосель" – 292 гектара,</w:t>
      </w:r>
    </w:p>
    <w:bookmarkEnd w:id="69"/>
    <w:bookmarkStart w:name="z80" w:id="70"/>
    <w:p>
      <w:pPr>
        <w:spacing w:after="0"/>
        <w:ind w:left="0"/>
        <w:jc w:val="both"/>
      </w:pPr>
      <w:r>
        <w:rPr>
          <w:rFonts w:ascii="Times New Roman"/>
          <w:b w:val="false"/>
          <w:i w:val="false"/>
          <w:color w:val="000000"/>
          <w:sz w:val="28"/>
        </w:rPr>
        <w:t>
      Скотопрогон "Орнек" – 1519 гектаров,</w:t>
      </w:r>
    </w:p>
    <w:bookmarkEnd w:id="70"/>
    <w:bookmarkStart w:name="z81" w:id="71"/>
    <w:p>
      <w:pPr>
        <w:spacing w:after="0"/>
        <w:ind w:left="0"/>
        <w:jc w:val="both"/>
      </w:pPr>
      <w:r>
        <w:rPr>
          <w:rFonts w:ascii="Times New Roman"/>
          <w:b w:val="false"/>
          <w:i w:val="false"/>
          <w:color w:val="000000"/>
          <w:sz w:val="28"/>
        </w:rPr>
        <w:t>
      Скотопрогон "Теренозек" – 658 гектаров</w:t>
      </w:r>
    </w:p>
    <w:bookmarkEnd w:id="71"/>
    <w:bookmarkStart w:name="z82" w:id="72"/>
    <w:p>
      <w:pPr>
        <w:spacing w:after="0"/>
        <w:ind w:left="0"/>
        <w:jc w:val="both"/>
      </w:pPr>
      <w:r>
        <w:rPr>
          <w:rFonts w:ascii="Times New Roman"/>
          <w:b w:val="false"/>
          <w:i w:val="false"/>
          <w:color w:val="000000"/>
          <w:sz w:val="28"/>
        </w:rPr>
        <w:t>
      Скотопрогон "Кайынды" – 234 гектара.</w:t>
      </w:r>
    </w:p>
    <w:bookmarkEnd w:id="72"/>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