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1738" w14:textId="2e41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ок земельного налога по Мерке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7 ноября 2020 года № 76-7. Зарегистрировано Департаментом юстиции Жамбылской области 8 декабря 2020 года № 48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ой кодекс)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Мерке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схемы зонирования земель Меркенский района, повысить ставки земельного налога на 50 процентов от базовых ставок земельного налога, установл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статьями 5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"О налогах и других обязательных платежах в бюджет (Налоговый кодекс)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земли сельскохозяйственного назначения, предоставленные физическим лицам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емли населенных пунктов (за исключением придомовых земельных участков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земли промышленности, транспорта, связи, обороны и иного несельскохозяйственного назначения расположенные вне населенных пункт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еркенского районного маслихата по вопросом территориального экономического структуре, финансов, бюджета, административного территориальный структуре, защите прав человека и рассмотрение проектов договоров закупов участков земл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ступает в силу со дня государственной регистрации в органах юстиции и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