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1738" w14:textId="2e41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ставок земельного налога по Меркенскому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27 ноября 2020 года № 76-7. Зарегистрировано Департаментом юстиции Жамбылской области 8 декабря 2020 года № 4822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(Налоговой кодекс)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Меркенского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схемы зонирования земель Меркенский района, повысить ставки земельного налога на 50 процентов от базовых ставок земельного налога,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статьями 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"О налогах и других обязательных платежах в бюджет (Налоговый кодекс)":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земли сельскохозяйственного назначения, предоставленные физическим лицам;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земли населенных пунктов (за исключением придомовых земельных участков);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земли промышленности, транспорта, связи, обороны и иного несельскохозяйственного назначения расположенные вне населенных пунктов.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Меркенского районного маслихата по вопросом территориального экономического структуре, финансов, бюджета, административного территориальный структуре, защите прав человека и рассмотрение проектов договоров закупов участков земли.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вступает в силу со дня государственной регистрации в органах юстиции и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