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d2aaab" w14:textId="6d2aaa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решение Жуалынского районного маслихата от 14 апреля 2020 года № 63-3 "Об утверждении плана управления и пользования пастбищ Жуалынского района за 2020-2021"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Жуалынского районного маслихата Жамбылской области от 11 сентября 2020 года № 71-3. Зарегистрировано Департаментом юстиции Жамбылской области 14 сентября 2020 года № 4735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Жуалынский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к решению Жуалынского районного маслихата от 14 апреля 2020 года </w:t>
      </w:r>
      <w:r>
        <w:rPr>
          <w:rFonts w:ascii="Times New Roman"/>
          <w:b w:val="false"/>
          <w:i w:val="false"/>
          <w:color w:val="000000"/>
          <w:sz w:val="28"/>
        </w:rPr>
        <w:t>№ 63-3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плана управления и пользования пастбищ Жуалынского района за 2020-2021 годы" (зарегистрировано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4586</w:t>
      </w:r>
      <w:r>
        <w:rPr>
          <w:rFonts w:ascii="Times New Roman"/>
          <w:b w:val="false"/>
          <w:i w:val="false"/>
          <w:color w:val="000000"/>
          <w:sz w:val="28"/>
        </w:rPr>
        <w:t>, опубликовано в Эталонно контрольном банке нормативных правовых актов Республики Казахстан в электронном виде от 4 мая 2020 года)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решению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решения.</w:t>
      </w:r>
    </w:p>
    <w:bookmarkStart w:name="z10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и публикацию на интернет-ресурсе данного решения возложить на постоянную комиссию районного маслихата по вопросам административно-территориальных структур, социально-экономическому развитию территорий, бюджета и местных налогов по защите прав граждан.</w:t>
      </w:r>
    </w:p>
    <w:bookmarkEnd w:id="2"/>
    <w:bookmarkStart w:name="z11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первого официального опубликования. 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Жуалынского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Сайлаубаев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Жуалынского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Тлеубеков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Жуалынского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11 сентября 2020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года № 71-3</w:t>
            </w:r>
          </w:p>
        </w:tc>
      </w:tr>
    </w:tbl>
    <w:bookmarkStart w:name="z1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Введение к плану по управлению пастбищами и их использованию по Жуалынскому району на 2020-2021 годы</w:t>
      </w:r>
    </w:p>
    <w:bookmarkEnd w:id="4"/>
    <w:bookmarkStart w:name="z2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Жуалынский район основан на сельском хозяйстве, в последнее время животноводство развивается динамично. Особое место в выполнении задачи полного обеспечения продовольствием страны занимает развитие животноводства, основой которого является эффективное и рациональное использование природных пастбищ.</w:t>
      </w:r>
    </w:p>
    <w:bookmarkEnd w:id="5"/>
    <w:bookmarkStart w:name="z2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землепользователей и собственников первоочередной задачей является эффективное использование природных пастбищ, предотвращение деградации пастбищ, реализация мер по улучшению пастбищ.</w:t>
      </w:r>
    </w:p>
    <w:bookmarkEnd w:id="6"/>
    <w:bookmarkStart w:name="z2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"Об утверждении предельно допустимой нормы нагрузки на общую площадь пастбищ"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акиматом Жуалынского района проводится анализ состояния обеспеченности пастбищными угодьями поголовья скота на территории района крестьянскими хозяйствами села, сельских округов.</w:t>
      </w:r>
    </w:p>
    <w:bookmarkEnd w:id="7"/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Погода в Жуалынском районе - очень континентальный: зима суровая, часто наблюдаются метели, весеной идет паводки, лето жаркое.</w:t>
      </w:r>
    </w:p>
    <w:bookmarkEnd w:id="8"/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температура января - 25-27 градусов, в июле - 22-24 градуса. Среднегодовой объем атмосферных осадков составляет 300-500 мм.</w:t>
      </w:r>
    </w:p>
    <w:bookmarkEnd w:id="9"/>
    <w:bookmarkStart w:name="z2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количество крупного рогатого скота составляет 54 623 голов, мелкого скота 197 310 голов, лошадей 11821 голов и для данных животных имеется 14 ветеринарных пунктов, 14 осеменаторских пунктов, 4 скотомогильника (биотермических ям).</w:t>
      </w:r>
    </w:p>
    <w:bookmarkEnd w:id="10"/>
    <w:bookmarkStart w:name="z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Жуалынском районе 1 село, 13 сельских округов. Имеет 49 населенных пунктов.</w:t>
      </w:r>
    </w:p>
    <w:bookmarkEnd w:id="11"/>
    <w:bookmarkStart w:name="z2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в сельскохозяйственном производстве занято 2368 крестьянских хозяйств, 4 сельскохозяйственных кооператива, 13 товариществ с ограниченной ответственностью.</w:t>
      </w:r>
    </w:p>
    <w:bookmarkEnd w:id="12"/>
    <w:bookmarkStart w:name="z2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пастбищных угодиях Мойынкумского региона установлено всего 67 колодцев Биликольского лесничества коммунального государственного учреждения "Жуалынское учреждение по охране лесов и животного мира". В Жуалынском районе 14 косвенные лесопользователи ведут хозяйства используя колодезные воды.</w:t>
      </w:r>
    </w:p>
    <w:bookmarkEnd w:id="13"/>
    <w:bookmarkStart w:name="z2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плана: управление пастбищами и их использование.</w:t>
      </w:r>
    </w:p>
    <w:bookmarkEnd w:id="14"/>
    <w:bookmarkStart w:name="z3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реализации плана: с начала 2020 года до конца 2021 года.</w:t>
      </w:r>
    </w:p>
    <w:bookmarkEnd w:id="15"/>
    <w:bookmarkStart w:name="z3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Жуалынского района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6"/>
    <w:bookmarkStart w:name="z3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1076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18"/>
    <w:bookmarkStart w:name="z3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0"/>
    <w:bookmarkStart w:name="z3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пользователей пастбищ к водоисточникам (озерам, рекам, прудам, ямам,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2"/>
    <w:bookmarkStart w:name="z3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4"/>
    <w:bookmarkStart w:name="z4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района, селе, сельском округе</w:t>
      </w:r>
    </w:p>
    <w:bookmarkEnd w:id="26"/>
    <w:bookmarkStart w:name="z4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определяющие сезонные маршруты выпаса и отгона сельскохозяйственных животных предлагаемых для владельцев скота по Жуалынскому району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15"/>
        <w:gridCol w:w="2521"/>
        <w:gridCol w:w="2972"/>
        <w:gridCol w:w="2973"/>
        <w:gridCol w:w="1319"/>
      </w:tblGrid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сельского округа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скота на отгонные пастбища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возвращения скота с отгонных пастбищ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Примеча-ние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Б.Момышулы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Актобинский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Биликольский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Жетитобинский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Карасазский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Кошкаратинский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Кокбастауский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Куренбельский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Кызыларыкский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Нурлыкентский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Шакпакский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состоянии геоботанического обследования пастбищ в Жуалынском районе</w:t>
      </w:r>
    </w:p>
    <w:bookmarkEnd w:id="29"/>
    <w:bookmarkStart w:name="z4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Общая информация</w:t>
      </w:r>
    </w:p>
    <w:bookmarkEnd w:id="30"/>
    <w:bookmarkStart w:name="z4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Жуалынский район расположен на юге Жамбылской области и граничит на северо-западе с Таласским, на северо-востоке с Жамбылским районами Жамбылской области, на юго-востоке с Республикой Кыргызстан, на юго-западе и западе с Туркестанской областью.</w:t>
      </w:r>
    </w:p>
    <w:bookmarkEnd w:id="31"/>
    <w:bookmarkStart w:name="z4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территориальному расположению район состоит из двух участков-основного и в песках Мойынкум. Территория основного землепользования района представляет собой компактный массив, протяженность которого с севера на юг составляет 90 километр, с востока на запад 80 километр. Участок, расположенный в песках Мойынкум в 200 километр от районного центра и эти земли являются зимними пастбищами для отгонного животноводства.</w:t>
      </w:r>
    </w:p>
    <w:bookmarkEnd w:id="32"/>
    <w:bookmarkStart w:name="z4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района по административным границам 421,3 тыс. га, что составляет 2,9 % территории области.</w:t>
      </w:r>
    </w:p>
    <w:bookmarkEnd w:id="33"/>
    <w:bookmarkStart w:name="z4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Районный центр село Б.Момышулы расположен в восточной части района в 60 километр от областного центра города Тараз.</w:t>
      </w:r>
    </w:p>
    <w:bookmarkEnd w:id="34"/>
    <w:bookmarkStart w:name="z5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Районный центр также является крупной железнодорожной станцией. Внутренняя связь с населенными пунктами района осуществляется дорогами республиканского, областного и местного значения.</w:t>
      </w:r>
    </w:p>
    <w:bookmarkEnd w:id="35"/>
    <w:bookmarkStart w:name="z5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Основная отрасль сельского хозяйства района - картофелеводство и молочное животноводство. Развитие этой отрасли обусловлено природно-климатическими условиями, а также близкое расположение крупного промышленного центра города Тараз. Район обеспечивает жителей этого города картофелем и молоком.</w:t>
      </w:r>
    </w:p>
    <w:bookmarkEnd w:id="36"/>
    <w:bookmarkStart w:name="z5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Расчет распределения всех земель района по категориям земель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74"/>
        <w:gridCol w:w="3384"/>
        <w:gridCol w:w="4262"/>
        <w:gridCol w:w="3780"/>
      </w:tblGrid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категорий земель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том числе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(поливные)</w:t>
            </w:r>
          </w:p>
          <w:bookmarkEnd w:id="38"/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используемые в сельском хозяйстве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земли негосударственных сельскохозяйственных юридических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земли государственных сельскохозяйственных юридических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земли крестьянских хозяйств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земли предоставленные гражданам для ведения огородничества и дачного строительства</w:t>
            </w:r>
          </w:p>
          <w:bookmarkEnd w:id="39"/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210 772,0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230 754,0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3 028,0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183 990,0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40"/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8 707,5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1 664,3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76,0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6 967,2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41"/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32 551,0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1529,0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Земли промышленности, транспортного, охранного и других направлении 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4 384,0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охраняемых природных территорий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10 633,0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103 861,0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Земли водного фонда 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8 615,0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42 882,0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192,5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Всего: </w:t>
            </w:r>
          </w:p>
        </w:tc>
        <w:tc>
          <w:tcPr>
            <w:tcW w:w="4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413 698,0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17 940,0</w:t>
            </w:r>
          </w:p>
        </w:tc>
      </w:tr>
    </w:tbl>
    <w:bookmarkStart w:name="z6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Климат</w:t>
      </w:r>
    </w:p>
    <w:bookmarkEnd w:id="42"/>
    <w:bookmarkStart w:name="z6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расположена в горной и предгорной природно-хозяйственной части Тянь-Шаня на орошаемых и богарных землях, является развитым животноводством.</w:t>
      </w:r>
    </w:p>
    <w:bookmarkEnd w:id="43"/>
    <w:bookmarkStart w:name="z6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по агроклиматическому типу подразделяются на следующие виды:</w:t>
      </w:r>
    </w:p>
    <w:bookmarkEnd w:id="44"/>
    <w:bookmarkStart w:name="z7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очень засушливая предгорная территория, северная предгорная часть;</w:t>
      </w:r>
    </w:p>
    <w:bookmarkEnd w:id="45"/>
    <w:bookmarkStart w:name="z7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всю остальную часть Жуалынского района, занимает умеренно засушливая и умеренно жаркая территория.</w:t>
      </w:r>
    </w:p>
    <w:bookmarkEnd w:id="46"/>
    <w:bookmarkStart w:name="z7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 климат района засушливый и резко континентальный, что обусловлено его внутри материковым положением. Однако, горные системы оказывают существенное влияние на формирование климата. В результате чего на территории района имеются прохладные и засушливые участки, характерные для южной части Казахстана, при наличии сухого и жаркого климата.</w:t>
      </w:r>
    </w:p>
    <w:bookmarkEnd w:id="47"/>
    <w:bookmarkStart w:name="z7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Самая низкая температура воздуха формируется в Жуалынском котловине. Происходит это в основном из-за окружения горами со всех сторон, только из узкой переправы на северо-востоке проникает сибирский антициклон и арктический холод. Зима продолжительная и холодная. В течение пяти месяцев сохраняется отрицательная среднемесячная температура воздуха.</w:t>
      </w:r>
    </w:p>
    <w:bookmarkEnd w:id="48"/>
    <w:bookmarkStart w:name="z7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Выпадение осадков по территории района неравномерное. Крайне низкое выпадение атмосферных осадков наблюдается в северо-восточной части, В среднем за год выпадает 324 мм осадков. </w:t>
      </w:r>
    </w:p>
    <w:bookmarkEnd w:id="49"/>
    <w:bookmarkStart w:name="z7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Большое количество влаги выпадает в горах западной части района, средне годовое количество достигает 636 мм. В весенний период выпадает большое количество осадков. В этот период выпадает 40% годовой нормы. Летом, особенно во второй половине, осадков выпадает очень мало. При выпадении осадки в году 20 дней бывает грозы. Наиболее часто грозы бывают в мае и июне.</w:t>
      </w:r>
    </w:p>
    <w:bookmarkEnd w:id="50"/>
    <w:bookmarkStart w:name="z7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Климатические условия благоприятно влияют на развитие различных отраслей сельскохозяйственного производства. В горной местности, где осадки выпадают значительно больше, развито богарное земледелие. Выращивают в основном яровые зерновые, так как озимая пшеница плохо переносит перезимовку.</w:t>
      </w:r>
    </w:p>
    <w:bookmarkEnd w:id="51"/>
    <w:bookmarkStart w:name="z7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орошаемых землях выращивают картофель и овощи. Возможно развитие садоводства. При выращивании овощей весенние заморозки вызывают трудности.</w:t>
      </w:r>
    </w:p>
    <w:bookmarkEnd w:id="52"/>
    <w:bookmarkStart w:name="z7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северо-восточной части района, в соответствии с низким уровнем влаги земледелие проводится путем дополнительного полива орошении. В летнее и весенне-осеннее время горные склоны используют в качестве пастбищ, выращивают крупный рогатый скот, овцы и лошади.</w:t>
      </w:r>
    </w:p>
    <w:bookmarkEnd w:id="53"/>
    <w:bookmarkStart w:name="z7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Рельеф</w:t>
      </w:r>
    </w:p>
    <w:bookmarkEnd w:id="54"/>
    <w:bookmarkStart w:name="z8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Жуалынского района развиты горные, так и равнинные рельефы. Горные массивы занимают центральную, южную и юго-западную части района. Разделены они узкими межгорными долинами (впадинами). Равнинный рельеф наблюдается в северной предгорной части района.</w:t>
      </w:r>
    </w:p>
    <w:bookmarkEnd w:id="55"/>
    <w:bookmarkStart w:name="z8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южной части района проходит хребет Таласского Алатау. На юго-западе в пределы района входят горы Боролдай, являющиеся отрогами большого Каратау. Склоны высокогорного района используют в качестве пастбищ в весеннее-осенний и летнее периоды для всех видов скот. В зависимости от сложности рельефа местности проведение земледелия невозможно.</w:t>
      </w:r>
    </w:p>
    <w:bookmarkEnd w:id="56"/>
    <w:bookmarkStart w:name="z8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Между горными системами Таласского Алатау на юге, горы Боролдай и хребта Каратау на западе на расстоянии 960-1500 метров над уровнем моря полого-наклонной равнине Жуалынской котловины сосредоточены самые плодородные земли.</w:t>
      </w:r>
    </w:p>
    <w:bookmarkEnd w:id="57"/>
    <w:bookmarkStart w:name="z8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Горный рельеф местности, разделенный глубокими руслами рек, оврагами значительно затрудняет использование территории в земледелии. В основном это пастбищные угодья. В межгорных землях района трудно использовать сельскохозяйственную технику.</w:t>
      </w:r>
    </w:p>
    <w:bookmarkEnd w:id="58"/>
    <w:bookmarkStart w:name="z8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Растительность</w:t>
      </w:r>
    </w:p>
    <w:bookmarkEnd w:id="59"/>
    <w:bookmarkStart w:name="z8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Территории района отличается большим количеством растений, так как в равнинной части влияют географические условия, а в горной зоне-влияние закономерностей вертикальной зоны.</w:t>
      </w:r>
    </w:p>
    <w:bookmarkEnd w:id="60"/>
    <w:bookmarkStart w:name="z8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горах Боралдайского и Таласского Алатау расположены горные луга. На этих летних пастбищах имеются растения высокой усвояемости для всех видов животных. Урожайность зелени 15-25 ц /га.</w:t>
      </w:r>
    </w:p>
    <w:bookmarkEnd w:id="61"/>
    <w:bookmarkStart w:name="z8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Низкогорные и предгорные участки представляют собой пастбищные и сенокосные угодья. Сезон использования пастбищ весенне-осенние.</w:t>
      </w:r>
    </w:p>
    <w:bookmarkEnd w:id="62"/>
    <w:bookmarkStart w:name="z8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в основном представлены такими разновидностями растений как полынно-колючим, полынно–кустарно-злаковым, полынно–овчарничато-камышным, так же полынно–зерново-кустарниковой растительностью и составляют сложную скрещенную экосистему местной флоры.</w:t>
      </w:r>
    </w:p>
    <w:bookmarkEnd w:id="63"/>
    <w:bookmarkStart w:name="z8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пойменной части реки Терс богата в видовом составе благодаря близкому стоянию грунтовых вод. Используется этот район в основном в качестве сенокосных угодий с урожайностью 10-18 ц/га сена. Некоторые участки стравливаются всеми видами скота. Надпойменная терраса реки Терс относится к району интенсивного земледелия. Природные растения сохранились вдоль дорог с большим количеством посевов.</w:t>
      </w:r>
    </w:p>
    <w:bookmarkEnd w:id="64"/>
    <w:bookmarkStart w:name="z9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сенокосные и пастбищные угодья на территории района можно использовать на весь сезон.</w:t>
      </w:r>
    </w:p>
    <w:bookmarkEnd w:id="65"/>
    <w:bookmarkStart w:name="z9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целях увеличения продуктивности природных земель и сдерживания развития водной эрозии почв следует строго регулировать выпас скота, ввести пастбищный оборот, засеять сено и следует использовать пастбища сезонно.</w:t>
      </w:r>
    </w:p>
    <w:bookmarkEnd w:id="66"/>
    <w:bookmarkStart w:name="z9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Образец схемы шестиразового пастбищеоборота после однократного выпаса с учетом календарного графика использования пастбищ.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1"/>
        <w:gridCol w:w="1971"/>
        <w:gridCol w:w="1972"/>
        <w:gridCol w:w="1972"/>
        <w:gridCol w:w="1972"/>
        <w:gridCol w:w="2056"/>
        <w:gridCol w:w="2056"/>
      </w:tblGrid>
      <w:tr>
        <w:trPr>
          <w:trHeight w:val="30" w:hRule="atLeast"/>
        </w:trPr>
        <w:tc>
          <w:tcPr>
            <w:tcW w:w="3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пастбищных угодий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  <w:bookmarkEnd w:id="68"/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  <w:bookmarkEnd w:id="69"/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  <w:bookmarkEnd w:id="70"/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  <w:bookmarkEnd w:id="71"/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  <w:bookmarkEnd w:id="72"/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произво-дится)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  <w:bookmarkEnd w:id="73"/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  <w:bookmarkEnd w:id="74"/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  <w:bookmarkEnd w:id="75"/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  <w:bookmarkEnd w:id="76"/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  <w:bookmarkEnd w:id="77"/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  <w:bookmarkEnd w:id="78"/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  <w:bookmarkEnd w:id="79"/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  <w:bookmarkEnd w:id="80"/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  <w:bookmarkEnd w:id="81"/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  <w:bookmarkEnd w:id="82"/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  <w:bookmarkEnd w:id="83"/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  <w:bookmarkEnd w:id="84"/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  <w:bookmarkEnd w:id="85"/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  <w:bookmarkEnd w:id="86"/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  <w:bookmarkEnd w:id="87"/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  <w:bookmarkEnd w:id="88"/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  <w:bookmarkEnd w:id="89"/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  <w:bookmarkEnd w:id="90"/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  <w:bookmarkEnd w:id="91"/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  <w:bookmarkEnd w:id="92"/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  <w:bookmarkEnd w:id="93"/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  <w:bookmarkEnd w:id="94"/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  <w:bookmarkEnd w:id="95"/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  <w:bookmarkEnd w:id="96"/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  <w:bookmarkEnd w:id="97"/>
        </w:tc>
      </w:tr>
    </w:tbl>
    <w:bookmarkStart w:name="z12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Как видно в схеме пастбищного вращения, раз в 6 лет флора данной территории "отдыхает", а это означает, что деградация пастбищ предотвращается.</w:t>
      </w:r>
    </w:p>
    <w:bookmarkEnd w:id="98"/>
    <w:bookmarkStart w:name="z124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Почвы</w:t>
      </w:r>
    </w:p>
    <w:bookmarkEnd w:id="99"/>
    <w:bookmarkStart w:name="z12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Наиболее распространение на территории района имеют светло-каштановые карбонатные почвы. Распространены они на средних и нижних отделах предгорных равнин, на пониженных участках плато, их склонах. Эти почвы в районе в основном освоены под богарное и орошаемое земледелие.</w:t>
      </w:r>
    </w:p>
    <w:bookmarkEnd w:id="100"/>
    <w:bookmarkStart w:name="z12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северо-восточной части района распространены сероземы обыкновенные. Выделено около десятки разновидностей сероземов обыкновенных. Механический состав их в основном средний и легкий суглинок.</w:t>
      </w:r>
    </w:p>
    <w:bookmarkEnd w:id="101"/>
    <w:bookmarkStart w:name="z12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пониженных элементах рельефа в районе озера Биликоль и в области речных долин распространены лугово-сероземные, сероземно-луговые почвы. Для этих почв характерно повышенное содержание гумуса. Незасоленные и глубоко засоленные разновидности этих почв считаются лучшими землями в районе, на которых возможно выращивание всех сельскохозяйственных культур. Солончаковатые, солонцевато-солончаковые и сильно солончаковатые разновидности этих почв используется как пастбища и сенокосы.</w:t>
      </w:r>
    </w:p>
    <w:bookmarkEnd w:id="102"/>
    <w:bookmarkStart w:name="z12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Из-за сложности горного рельефа часть пахотнопригодных земель невозможно использовать в земледелии. Поэтому их рекомендуется использовать в качестве пастбищных угодий.</w:t>
      </w:r>
    </w:p>
    <w:bookmarkEnd w:id="103"/>
    <w:bookmarkStart w:name="z129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Гидрография и гидрогеология</w:t>
      </w:r>
    </w:p>
    <w:bookmarkEnd w:id="104"/>
    <w:bookmarkStart w:name="z13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Гидрографическая сеть района хорошо развита и представлена небольшими, но многочисленными реками, ручьями и родниками. Существенным элементом гидрографии территории района являются оросительные каналы, пруды, водохранилища и "Карасу"- выходы подземных и возрастных оросительных вод.</w:t>
      </w:r>
    </w:p>
    <w:bookmarkEnd w:id="105"/>
    <w:bookmarkStart w:name="z13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Река Терс является левым притоком, составляющим реки Аса и начинается от родника на стыке гор Каратау и Таласским Алатау на высоте 1200-1500 метр. Средний уклон реки 7,6%. Пойма имеется по всей длине реки Терс, двухсторонняя, луговая, с преобладающей шириной 150-250 метр, а у села Нурлыкент-480 метр. Русло реки извилистое, неразветленное, устойчивое. Преобладающая ширина 10-20 метр, наибольшая -40 метр, глубина 0,5-0,8 метр. На реке Терс ниже села Нурлыкент для целей орошения построено Терс-Ащибулакское водохранилище сезонного регулирования стока, объемом 0,158 км3.</w:t>
      </w:r>
    </w:p>
    <w:bookmarkEnd w:id="106"/>
    <w:bookmarkStart w:name="z13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Река Аксай берет начало на северных склонах хребта Таласского Алатау, впадает в реку Терс.</w:t>
      </w:r>
    </w:p>
    <w:bookmarkEnd w:id="107"/>
    <w:bookmarkStart w:name="z13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Река Коксай берет начало на северном склоне Таласского Алатау из небольшого горного озера, расположенного на высоте 2500 метр и не доходя до реки Терс теряется.</w:t>
      </w:r>
    </w:p>
    <w:bookmarkEnd w:id="108"/>
    <w:bookmarkStart w:name="z13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у подножья Каратау расположено озеро Биликоль. Озеро вытянуто с юга на север и имеет неправильную форму. Площадь зеркала озера около 87 км2, наибольшая глубина 6-7 метр. Берега пологие у устья реки Аса и с севера при ее выходе поросшие камышом.</w:t>
      </w:r>
    </w:p>
    <w:bookmarkEnd w:id="109"/>
    <w:bookmarkStart w:name="z13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Подземные воды этого региона могут быть использованы в основном для обводнения пастбищ.</w:t>
      </w:r>
    </w:p>
    <w:bookmarkEnd w:id="110"/>
    <w:bookmarkStart w:name="z136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Геоботаника пастбищ</w:t>
      </w:r>
    </w:p>
    <w:bookmarkEnd w:id="111"/>
    <w:bookmarkStart w:name="z13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определения продуктивности пастбищ использовались данные геоботанических исследований специалистов Республиканского государственного предприятия "ГосНПЦзем" на 1980-2012 годы. Средний урожай сухой массы пастбищ составляет 3,3 цн/га по размеру корма – при -1,5 цн/га. Суммируя это, мы можем рассчитать вес кормовой единицы в районе: 1,5 * 224 956 га = 337434 цн корма.</w:t>
      </w:r>
    </w:p>
    <w:bookmarkEnd w:id="112"/>
    <w:bookmarkStart w:name="z13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пищи для скота используется для выпаса, который продлевается 180-200 дней. Вспомогательные запасы травы и запасы кошения используются в зимний период.</w:t>
      </w:r>
    </w:p>
    <w:bookmarkEnd w:id="113"/>
    <w:bookmarkStart w:name="z139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Емкость пастбища</w:t>
      </w:r>
    </w:p>
    <w:bookmarkEnd w:id="114"/>
    <w:bookmarkStart w:name="z14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пастбищного потенциала было основано на данных о его производительности в период пастбищ. Приблизительно были получены следующие нормы зеленой травы (в среднем на одного скота): крупный рогатый скот (на одного) - 4 кг, мелкий скот (на одного) - 2 кг, лошадь - 6 кг. Продолжительность пастбищного периода составляет 180-200 дней. Таким образом, можно определить способность пастбища, зная пастбищный продукт, необходимость за один день корма для животных, продолжительность пастбищного периода.</w:t>
      </w:r>
    </w:p>
    <w:bookmarkEnd w:id="115"/>
    <w:bookmarkStart w:name="z14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продуктивность пастбищ, тоесть сухая масса 3,3 цн с гектара, продолжительность 180 дней, даты начала одного из выпаса скота пастбища, необходима 4 кг зеленой пищи на всех этапах требуется 4 * 180 = 720 кг или 7,2 цн.</w:t>
      </w:r>
    </w:p>
    <w:bookmarkEnd w:id="116"/>
    <w:bookmarkStart w:name="z142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 по селу, сельским округам Жуалынского района</w:t>
      </w:r>
    </w:p>
    <w:bookmarkEnd w:id="1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24"/>
        <w:gridCol w:w="2330"/>
        <w:gridCol w:w="2324"/>
        <w:gridCol w:w="1498"/>
        <w:gridCol w:w="2325"/>
        <w:gridCol w:w="1499"/>
      </w:tblGrid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сельских округов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животных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для осеменения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Б.Момышулы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Актобинский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Биликольский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Жетитобинский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Карасазский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Кошкаратинский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Кокбастауский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Куренбельский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Кызыларыкский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Нурлыкентский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Шакпакский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bookmarkStart w:name="z143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с указанием их владельцев – пастбище пользователей, физических и (или) юридических лиц</w:t>
      </w:r>
    </w:p>
    <w:bookmarkEnd w:id="1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48"/>
        <w:gridCol w:w="1460"/>
        <w:gridCol w:w="2472"/>
        <w:gridCol w:w="2812"/>
        <w:gridCol w:w="2472"/>
        <w:gridCol w:w="2136"/>
      </w:tblGrid>
      <w:tr>
        <w:trPr>
          <w:trHeight w:val="30" w:hRule="atLeast"/>
        </w:trPr>
        <w:tc>
          <w:tcPr>
            <w:tcW w:w="9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руководителей крестьянских хозяйств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Расчет поголовья скота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Аксайскому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6919,0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Калдарбеков Шаяхмет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Сат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Олжабаева Базаркүл 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6227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Актобинскому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3167,0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10779,0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Светлана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Ишанкулова Лайла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Токтаев Сейдакпар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Тойшибеков Азимхан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9199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Боралдайскому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3190,0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18109,0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Айгелдиев Хамит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Дуйсебекова Алтынай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Жайшыбеков Марат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Мусрепбек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Қонашева Жәмиля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Курмашев Естай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Мешелов Кенже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Мырзалиев Нургали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Сұрамысов Аманкелді 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Бауыржан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7649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Биликолскому сельскому округу 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2031,0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46047,0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2709,0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Нартбай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Айхимбеков Бахытжан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Паширов Тұрсынбай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 Амангелды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4176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Мұстафаев Мұрат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Қайнарбеков Төрехан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Мышбаев Қадырқұл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5257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Лұхманова Тажикул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Абсалямова Хазиза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Оразымбетов Жұмабек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Бейсенбаева Канымкул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Евгений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Абдуалиев Полат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22104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селе Б.Момышулы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6387,0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6387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11056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Нурлыкентскому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3978,0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6899,0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Жұмашев Әбен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Елекбаев Айбек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Төлегенов Мейірбек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5464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Жетитобинскому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4083,0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19000,0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Саурықов Еркебұлан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Наушабаев Қанат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Абдрахов Естөре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Қадірбаев Өтеш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Жақсылықов Рахым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Жақыпбеков Алби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2982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Карасазскому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4214,0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9364,0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Махатаев Әмірқұл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Орақов Орынбасар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Ертаев Лесбек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Абылнұр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Сегізбаев Дархан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Қойбақов Сейтхан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Темірбекова Жанылкүл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4169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Кошкаратинскому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3160,0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18252,0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Болат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Абдикеров Сағындык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Досан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Дазиев 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Төлеушов Ерболат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Қадыров Ерғали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Дазиев Муцелик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Толипбеков Досымбек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Бердалиева Роза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Тасболатов Мади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Әбдіқадыров Баймен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2432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Кокбастаускому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3004,0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12764,0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Нұрпейсов Сағынбек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Раздыков Кенжехан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Айнабекова Беріккүл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Абдреева Б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Турашева Мария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2794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6949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Куренбелскому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3081,0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16565,0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Нысанов Алик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Төре Руслан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Арынов Марат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3011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14579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Кызыларыкскому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3068,0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5753,0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Үсенбаев Дәулет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Асқар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Елекбаев Айбек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 Нұрмаханбет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Халыкова Қалдыкүл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2887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Шакпакскому сельскому округу 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3283,0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Коломацкий Виктор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Копбай Феруза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Нұралы Орынбасар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Федотова Оксана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Сәбеев Сайып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Мынбулакскому сельскому округу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7543,0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Ашықбеков Шырынбек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Қаңтарбаева Анар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Төреқұлов Нұрлыхан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6643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41094,0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242201,0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10910,0</w:t>
            </w:r>
          </w:p>
        </w:tc>
        <w:tc>
          <w:tcPr>
            <w:tcW w:w="2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72 746</w:t>
            </w:r>
          </w:p>
        </w:tc>
      </w:tr>
    </w:tbl>
    <w:bookmarkStart w:name="z144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сформированных стад, отаров, табунов по видам сельскохозяйственных животных и половозрастным группам</w:t>
      </w:r>
    </w:p>
    <w:bookmarkEnd w:id="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79"/>
        <w:gridCol w:w="1885"/>
        <w:gridCol w:w="2553"/>
        <w:gridCol w:w="1548"/>
        <w:gridCol w:w="2554"/>
        <w:gridCol w:w="1881"/>
      </w:tblGrid>
      <w:tr>
        <w:trPr>
          <w:trHeight w:val="30" w:hRule="atLeast"/>
        </w:trPr>
        <w:tc>
          <w:tcPr>
            <w:tcW w:w="1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стад,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(табун)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крупно рогатого скота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(отар)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(стадо)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Б.Момышулы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Актобинский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Биликольский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Нурлыкентский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Жетитобинский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Карасазский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Кошкаратинский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Кокбастауский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Куренбельский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Кызыларыкский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Мынбулакский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</w:tbl>
    <w:bookmarkStart w:name="z145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мероприятий по замене пастбищ предоставляемые для размещения и перераспределения поголовья сельскохозяйственных животных</w:t>
      </w:r>
    </w:p>
    <w:bookmarkEnd w:id="1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9"/>
        <w:gridCol w:w="1094"/>
        <w:gridCol w:w="2048"/>
        <w:gridCol w:w="2048"/>
        <w:gridCol w:w="2753"/>
        <w:gridCol w:w="1073"/>
        <w:gridCol w:w="2375"/>
      </w:tblGrid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для потребления населения (пастбища и сенокосы)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 скота у населения и крестьянских хозяйств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на одно поголовья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по нормативу площади пастбищ (га)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 сельский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 га</w:t>
            </w:r>
          </w:p>
          <w:bookmarkEnd w:id="121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-4539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МРС-6374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Лошади-528</w:t>
            </w:r>
          </w:p>
          <w:bookmarkEnd w:id="122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23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18 156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5 099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2 534</w:t>
            </w:r>
          </w:p>
          <w:bookmarkEnd w:id="124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11 441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25 789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Актюбинский сельский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 га</w:t>
            </w:r>
          </w:p>
          <w:bookmarkEnd w:id="125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-3058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МРС-7174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Лошади-1190</w:t>
            </w:r>
          </w:p>
          <w:bookmarkEnd w:id="126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27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12 232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5 739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5 712</w:t>
            </w:r>
          </w:p>
          <w:bookmarkEnd w:id="128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11 422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23 683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Жетитобинский сельский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3070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1966 га</w:t>
            </w:r>
          </w:p>
          <w:bookmarkEnd w:id="129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КРС-6362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МРС-2774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Лошади-1072</w:t>
            </w:r>
          </w:p>
          <w:bookmarkEnd w:id="130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31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25 448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22195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5145</w:t>
            </w:r>
          </w:p>
          <w:bookmarkEnd w:id="132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35 178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52 788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Биликолский с/о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3028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2465 га</w:t>
            </w:r>
          </w:p>
          <w:bookmarkEnd w:id="133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КРС-2307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МРС-34718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Лошади-2215</w:t>
            </w:r>
          </w:p>
          <w:bookmarkEnd w:id="134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35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9 228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27744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10632</w:t>
            </w:r>
          </w:p>
          <w:bookmarkEnd w:id="136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39 240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47 634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Боралдайский сельский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3608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2965 га</w:t>
            </w:r>
          </w:p>
          <w:bookmarkEnd w:id="137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КРС-4527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МРС-18904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Лошади-1383</w:t>
            </w:r>
          </w:p>
          <w:bookmarkEnd w:id="138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39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17013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7468</w:t>
            </w:r>
          </w:p>
          <w:bookmarkEnd w:id="140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24 814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44 852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Куренбелский сельский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3618 га</w:t>
            </w:r>
          </w:p>
          <w:bookmarkEnd w:id="141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КРС-3306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МРС-16814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Лошади-689</w:t>
            </w:r>
          </w:p>
          <w:bookmarkEnd w:id="142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43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14 877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3720</w:t>
            </w:r>
          </w:p>
          <w:bookmarkEnd w:id="144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20 809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33 729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Кокбастауский сельский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2096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 га</w:t>
            </w:r>
          </w:p>
          <w:bookmarkEnd w:id="145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КРС- 3058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МРС-13720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Лошади-651</w:t>
            </w:r>
          </w:p>
          <w:bookmarkEnd w:id="146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47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12 232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10976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3124</w:t>
            </w:r>
          </w:p>
          <w:bookmarkEnd w:id="148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17 429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26 332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Карасазский сельский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2234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 га</w:t>
            </w:r>
          </w:p>
          <w:bookmarkEnd w:id="149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КРС-4989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МРС-6327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Лошади-542</w:t>
            </w:r>
          </w:p>
          <w:bookmarkEnd w:id="150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51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16 856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7491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3182</w:t>
            </w:r>
          </w:p>
          <w:bookmarkEnd w:id="152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11 858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27 529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Кошкаратинский сельский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2394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1976 га</w:t>
            </w:r>
          </w:p>
          <w:bookmarkEnd w:id="153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КРС-3628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МРС-23699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Лошади-536</w:t>
            </w:r>
          </w:p>
          <w:bookmarkEnd w:id="154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55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16 326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21329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2894</w:t>
            </w:r>
          </w:p>
          <w:bookmarkEnd w:id="156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27 863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40 549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Кызыларыкский сельский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2841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2134 га</w:t>
            </w:r>
          </w:p>
          <w:bookmarkEnd w:id="157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КРС-2300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МРС-9522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Лошади-1078</w:t>
            </w:r>
          </w:p>
          <w:bookmarkEnd w:id="158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59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9 200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7617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5174</w:t>
            </w:r>
          </w:p>
          <w:bookmarkEnd w:id="160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12 900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21 991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Мынбулакский с/о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 га</w:t>
            </w:r>
          </w:p>
          <w:bookmarkEnd w:id="161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КРС-2772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МРС-6203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Лошади-372</w:t>
            </w:r>
          </w:p>
          <w:bookmarkEnd w:id="162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63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11 088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</w:t>
            </w:r>
          </w:p>
          <w:bookmarkEnd w:id="164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9 347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17 835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Нурлыкентский сельский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 га</w:t>
            </w:r>
          </w:p>
          <w:bookmarkEnd w:id="165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КРС-5888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МРС-7976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Лошади-396</w:t>
            </w:r>
          </w:p>
          <w:bookmarkEnd w:id="166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67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26 496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7178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2138</w:t>
            </w:r>
          </w:p>
          <w:bookmarkEnd w:id="168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14 260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35 812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Шакпакский сельский округ по крестьянскому хозяйству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 га</w:t>
            </w:r>
          </w:p>
          <w:bookmarkEnd w:id="169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КРС-5027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МРС-13733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Лошади-818</w:t>
            </w:r>
          </w:p>
          <w:bookmarkEnd w:id="170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71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3926</w:t>
            </w:r>
          </w:p>
          <w:bookmarkEnd w:id="172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19618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35052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14 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Б.Момышулы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крестьянскому хозяйству</w:t>
            </w:r>
          </w:p>
          <w:bookmarkEnd w:id="173"/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 га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га</w:t>
            </w:r>
          </w:p>
          <w:bookmarkEnd w:id="174"/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КРС-2862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МРС-4362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Лошади-351</w:t>
            </w:r>
          </w:p>
          <w:bookmarkEnd w:id="175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76"/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12 879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1895</w:t>
            </w:r>
          </w:p>
          <w:bookmarkEnd w:id="177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7 575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18 699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району: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32 551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22 578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-54 623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 -197 310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-11 821</w:t>
            </w:r>
          </w:p>
          <w:bookmarkEnd w:id="178"/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452 274</w:t>
            </w:r>
          </w:p>
        </w:tc>
      </w:tr>
    </w:tbl>
    <w:bookmarkStart w:name="z24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1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63"/>
        <w:gridCol w:w="2384"/>
        <w:gridCol w:w="2384"/>
        <w:gridCol w:w="2384"/>
        <w:gridCol w:w="2385"/>
      </w:tblGrid>
      <w:tr>
        <w:trPr>
          <w:trHeight w:val="30" w:hRule="atLeast"/>
        </w:trPr>
        <w:tc>
          <w:tcPr>
            <w:tcW w:w="27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государственного земельного фонда (га)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земель населенных пунктов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  <w:bookmarkEnd w:id="180"/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земель лесного фонда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  <w:bookmarkEnd w:id="181"/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пастбищных земель крестьянских хозяйств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25 789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3 850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4 708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23 683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1 221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3 172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52 788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1 626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1 966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2 000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3 087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47 634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1 658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2 465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12 791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30 720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44 852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2 653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2 893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9 308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33 729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3 618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3 701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26 332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1 297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1 044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7 986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27 529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1 484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3 012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40 549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1 976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1 319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7 600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21 991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2 497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2 134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2 696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17 835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3 104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3 123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35 812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1 392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35 052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1 355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2 292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2 690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18 699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4 404</w:t>
            </w:r>
          </w:p>
        </w:tc>
      </w:tr>
      <w:tr>
        <w:trPr>
          <w:trHeight w:val="30" w:hRule="atLeast"/>
        </w:trPr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452 274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18 587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22 506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25 657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83 232</w:t>
            </w:r>
          </w:p>
        </w:tc>
      </w:tr>
    </w:tbl>
    <w:bookmarkStart w:name="z250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Особенности выпаса сельскохозяйственных животных на культурных и аридных пастбищах</w:t>
      </w:r>
    </w:p>
    <w:bookmarkEnd w:id="182"/>
    <w:bookmarkStart w:name="z25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передвижения сельскохозяйственных. А также продолжительность пастбищного периода.</w:t>
      </w:r>
    </w:p>
    <w:bookmarkEnd w:id="183"/>
    <w:bookmarkStart w:name="z25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Период продолжительности пастбищ в зависимости от почвенно-климатической зоны, вида сельскохозяйственных животных, а также продуктивности пастбищ:</w:t>
      </w:r>
    </w:p>
    <w:bookmarkEnd w:id="184"/>
    <w:bookmarkStart w:name="z25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горная, лесостепная-170-180 день;</w:t>
      </w:r>
    </w:p>
    <w:bookmarkEnd w:id="185"/>
    <w:bookmarkStart w:name="z25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песчаная пустыня- 180-200 день.</w:t>
      </w:r>
    </w:p>
    <w:bookmarkEnd w:id="186"/>
    <w:bookmarkStart w:name="z25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крупного рогатого скота молочного порода – минимальная, а для мясного крупного рогатого скота, овец, лошадей, верблюдов – максимальная и зависит от глубины снежного покрова, плотности снега и других факторов.</w:t>
      </w:r>
    </w:p>
    <w:bookmarkEnd w:id="187"/>
    <w:bookmarkStart w:name="z256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</w:t>
      </w:r>
    </w:p>
    <w:bookmarkEnd w:id="188"/>
    <w:bookmarkStart w:name="z25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прогона и переселения сельскохозяйственных животных установлено 1870 гектаров земли по Жуалынскому району.</w:t>
      </w:r>
    </w:p>
    <w:bookmarkEnd w:id="189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