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7182" w14:textId="cf27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69/627-6с. Зарегистрировано Департаментом юстиции города Шымкент 23 сентября 2020 года № 126. Утратило силу решением маслихата города Шымкент от 30 марта 2022 года № 14/124-VII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30.03.2022 № 14/124-VII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Шымкент,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июня 2014 года № 37/257-5с (зарегистрировано в Реестре государственной регистрации нормативных правовых актов под № 2736),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для находящихся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1, 2, 4, 5 и 6 за исключением земель, занятых под автостоянки (паркинги), автозаправочные станции, на 50 (пятьдесят)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7 за исключением земель, занятых под автостоянки (паркинги), автозаправочные станции, на 40 (сорок)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10 для земель несельскохозяйственного назначения, используемые для сельскохозяйственных целей, на 50 (пятьдесят)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земель, находящихся в зонах 3, 8, 9 и 10 за исключением земель, занятых под автостоянки (паркинги), автозаправочные станции, несельскохозяйственного назначения, используемые для сельскохозяйственных целей, оставить утвержденные базовые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Шымкентского городского маслихата Южно-Казахстанской области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46/327-5с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Шымкентского городского маслихата от 8 августа 2014 года № 39/266-5с "О корректировке базовых ставок земельного налога" (зарегистрировано в Реестре государственной регистрации нормативных правовых актов под № 3166, опубликовано 8 мая 2015 года № 19 в газете "Панорама Шымкент") и решение Шымкентского городского маслихата Южно-Казахстанской области от 29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28/238-6с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налога" (зарегистрировано в Реестре государственной регистрации нормативных правовых актов под № 4632, опубликовано 22 июня 2018 года № 49 в газете "Панорама Шымкент").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