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7455" w14:textId="a497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4 ноября 2020 года № 61-4. Зарегистрировано Департаментом юстиции Алматинской области 13 ноября 2020 года № 5741.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Карасайского районного маслихата Алматинской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возможностями", Карасайский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Карасайском районе,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27.09.2023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Карасайского районного маслихата Алматинской области от 27.09.2023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Карасайского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Карасайском районе" от 20 мая 2016 года № 5-4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июля 2016 года в информационно-правовой системе "Әділет").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Карасайского районного маслихата "По социальной защите населения, образованию, здравоохранению, культуре, языка и спорта".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"27" сентября 2023 года № 7-3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решения Карасайского районного маслихата Алматинской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Карасайском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марта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№ 22394) (далее – Правила возмещения затрат).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Карасайского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государственного учреждения "Отдел образования Карасайского района управления образования Алматинской области".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8 (восьми) месячным расчетным показателям ежеквартально на каждого ребенка с инвалидностью.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Основания для отказа в возмещении затрат на обучение предусмотрены пунктом девять приложения 3 к Правилам возмещения затрат.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