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4716" w14:textId="84a4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сентября 2020 года № 333. Зарегистрировано Департаментом юстиции Актюбинской области 1 октября 2020 года № 7502.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Иргизского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марта 2020 года № 282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6911, опубликованное 30 марта 2020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9 апреля 2020 года № 301 "О внесении изменения и дополнения в решение Иргизского районного маслихата от 13 марта 2020 года № 282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7043, опубликованное 17 апреля 2020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Иргизского районного маслихата от 21 сентября 2020 года № 333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Иргизском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Иргизского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"Иргизский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Закона Республики Казахстан от 14 апреля 1993 года "О реабилитации жертв массовых политических репрессий",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лет, единовременно без учета среднедушевого дохода-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согласно Закона Республики Казахстан от 14 апреля 1993 года "О реабилитации жертв массовых политических репрессий" – в размере 120 000 (сто двадцать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"Иргизская районная больница" на праве хозяйственного ведения государственного учреждения "Управление здравоохранения Актюбинской области", а также лица инфицированные вирусом иммунодефицита человека, согласно справок представляемых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малообеспеченным гражданам,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Иргизском районе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