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e25e" w14:textId="c05e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4 июля 2019 года № 260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марта 2020 года № 111. Зарегистрировано Департаментом юстиции Актюбинской области 27 марта 2020 года № 6918. Утратило силу постановлением акимата Актюбинской области от 9 октября 2023 года № 265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Актюбинской области от 09.10.2023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17 июля 2001 года "О государственной адресной социальной помощи"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июля 2019 года № 260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помощью" (зарегистрирован в Реестре государственной регистрации нормативных правовых актов № 6277, опубликованное 22 июля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участковых комиссиях по проведению обследования материального положения лиц (семей), обратившихся за государственной адресной социальной помощью,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об участковых комиссиях по проведению обследования материального положения лиц (семей), обратившихся за государственной адресной социальной помощью,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1 к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июля 2019 года № 260";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положениях об участковых комиссиях по проведению обследования материального положения лиц (семей), обратившихся за государственной адресной социальной помощью,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постанлению.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Актюбинского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Калдыгулова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20 марта 2020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(зарегистрированный в Министерстве юстиции Республики Казахстан 24 июня 2015 года № 11426);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помощи,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