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99ae" w14:textId="a329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2020 года № ҚР ДСМ-283/2020. Зарегистрирован в Министерстве юстиции Республики Казахстан 22 декабря 2020 года № 21843.</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18.12.2025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28.06.2024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18.12.2025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труда и социальной защиты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"____"________________2020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 № ҚР ДСМ-283/2020</w:t>
            </w:r>
          </w:p>
        </w:tc>
      </w:tr>
    </w:tbl>
    <w:bookmarkStart w:name="z15" w:id="9"/>
    <w:p>
      <w:pPr>
        <w:spacing w:after="0"/>
        <w:ind w:left="0"/>
        <w:jc w:val="left"/>
      </w:pPr>
      <w:r>
        <w:rPr>
          <w:rFonts w:ascii="Times New Roman"/>
          <w:b/>
          <w:i w:val="false"/>
          <w:color w:val="000000"/>
        </w:rPr>
        <w:t xml:space="preserve"> Правила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здравоохранения РК от 16.07.2025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546" w:id="11"/>
    <w:p>
      <w:pPr>
        <w:spacing w:after="0"/>
        <w:ind w:left="0"/>
        <w:jc w:val="both"/>
      </w:pPr>
      <w:r>
        <w:rPr>
          <w:rFonts w:ascii="Times New Roman"/>
          <w:b w:val="false"/>
          <w:i w:val="false"/>
          <w:color w:val="000000"/>
          <w:sz w:val="28"/>
        </w:rPr>
        <w:t xml:space="preserve">
      1. Настоящие Правила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подтверждения результатов непрерывного профессионального развития, присвоения и подтверждения уровня квалификации работникам системы здравоохранения, имеющих техническое и профессиональное, послесреднее, высшее, послевузовское образование по направлению подготовки "Здравоохранение".</w:t>
      </w:r>
    </w:p>
    <w:bookmarkEnd w:id="11"/>
    <w:bookmarkStart w:name="z547" w:id="12"/>
    <w:p>
      <w:pPr>
        <w:spacing w:after="0"/>
        <w:ind w:left="0"/>
        <w:jc w:val="both"/>
      </w:pPr>
      <w:r>
        <w:rPr>
          <w:rFonts w:ascii="Times New Roman"/>
          <w:b w:val="false"/>
          <w:i w:val="false"/>
          <w:color w:val="000000"/>
          <w:sz w:val="28"/>
        </w:rPr>
        <w:t xml:space="preserve">
      2. Результаты непрерывного профессионального развития (далее – НПР) работников системы здравоохранения подтверждаются службой управления персоналом и руководителем организации здравоохранения или физическим лицом, занимающимся частной медицинской практикой и фармацевтической деятельностью в соответствии с критериями подтверждения результатов непрерывного профессионального развития работников системы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18.12.2025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549" w:id="14"/>
    <w:p>
      <w:pPr>
        <w:spacing w:after="0"/>
        <w:ind w:left="0"/>
        <w:jc w:val="both"/>
      </w:pPr>
      <w:r>
        <w:rPr>
          <w:rFonts w:ascii="Times New Roman"/>
          <w:b w:val="false"/>
          <w:i w:val="false"/>
          <w:color w:val="000000"/>
          <w:sz w:val="28"/>
        </w:rPr>
        <w:t>
      1) аккредитованная организация по оценке – аккредитованная уполномоченным органом здравоохранения организация, осуществляющая оценку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14"/>
    <w:bookmarkStart w:name="z550" w:id="15"/>
    <w:p>
      <w:pPr>
        <w:spacing w:after="0"/>
        <w:ind w:left="0"/>
        <w:jc w:val="both"/>
      </w:pPr>
      <w:r>
        <w:rPr>
          <w:rFonts w:ascii="Times New Roman"/>
          <w:b w:val="false"/>
          <w:i w:val="false"/>
          <w:color w:val="000000"/>
          <w:sz w:val="28"/>
        </w:rPr>
        <w:t>
      2) зачетная единица в системе непрерывного профессионального развития работников системы здравоохранения (далее – ЗЕ) – унифицированная условная единица измерения объема участия специалиста в мероприятиях, способствующих непрерывному профессиональному развитию за определенный период профессиональной деятельности;</w:t>
      </w:r>
    </w:p>
    <w:bookmarkEnd w:id="15"/>
    <w:bookmarkStart w:name="z551" w:id="16"/>
    <w:p>
      <w:pPr>
        <w:spacing w:after="0"/>
        <w:ind w:left="0"/>
        <w:jc w:val="both"/>
      </w:pPr>
      <w:r>
        <w:rPr>
          <w:rFonts w:ascii="Times New Roman"/>
          <w:b w:val="false"/>
          <w:i w:val="false"/>
          <w:color w:val="000000"/>
          <w:sz w:val="28"/>
        </w:rPr>
        <w:t>
      3) медицинский работник – физическое лицо, имеющее профессиональное медицинское образование и осуществляющее медицинскую деятельность;</w:t>
      </w:r>
    </w:p>
    <w:bookmarkEnd w:id="16"/>
    <w:bookmarkStart w:name="z552" w:id="17"/>
    <w:p>
      <w:pPr>
        <w:spacing w:after="0"/>
        <w:ind w:left="0"/>
        <w:jc w:val="both"/>
      </w:pPr>
      <w:r>
        <w:rPr>
          <w:rFonts w:ascii="Times New Roman"/>
          <w:b w:val="false"/>
          <w:i w:val="false"/>
          <w:color w:val="000000"/>
          <w:sz w:val="28"/>
        </w:rPr>
        <w:t>
      4) дополнительное образование специалистов в области здравоохранения (далее – дополнительное образование) – процесс обучения, осуществляемый 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 а также освоения новых (дополнительных) компетенций;</w:t>
      </w:r>
    </w:p>
    <w:bookmarkEnd w:id="17"/>
    <w:bookmarkStart w:name="z727" w:id="18"/>
    <w:p>
      <w:pPr>
        <w:spacing w:after="0"/>
        <w:ind w:left="0"/>
        <w:jc w:val="both"/>
      </w:pPr>
      <w:r>
        <w:rPr>
          <w:rFonts w:ascii="Times New Roman"/>
          <w:b w:val="false"/>
          <w:i w:val="false"/>
          <w:color w:val="000000"/>
          <w:sz w:val="28"/>
        </w:rPr>
        <w:t>
      4-1) организация здравоохранения – юридическое лицо, осуществляющее деятельность в области здравоохранения;</w:t>
      </w:r>
    </w:p>
    <w:bookmarkEnd w:id="18"/>
    <w:bookmarkStart w:name="z553" w:id="19"/>
    <w:p>
      <w:pPr>
        <w:spacing w:after="0"/>
        <w:ind w:left="0"/>
        <w:jc w:val="both"/>
      </w:pPr>
      <w:r>
        <w:rPr>
          <w:rFonts w:ascii="Times New Roman"/>
          <w:b w:val="false"/>
          <w:i w:val="false"/>
          <w:color w:val="000000"/>
          <w:sz w:val="28"/>
        </w:rPr>
        <w:t>
      5) профессиональная квалификация – степень профессиональной подготовки, характеризующая владение компетенциями, требуемыми для выполнения трудовых функций по профессии;</w:t>
      </w:r>
    </w:p>
    <w:bookmarkEnd w:id="19"/>
    <w:bookmarkStart w:name="z554" w:id="20"/>
    <w:p>
      <w:pPr>
        <w:spacing w:after="0"/>
        <w:ind w:left="0"/>
        <w:jc w:val="both"/>
      </w:pPr>
      <w:r>
        <w:rPr>
          <w:rFonts w:ascii="Times New Roman"/>
          <w:b w:val="false"/>
          <w:i w:val="false"/>
          <w:color w:val="000000"/>
          <w:sz w:val="28"/>
        </w:rPr>
        <w:t>
      6)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20"/>
    <w:bookmarkStart w:name="z555" w:id="21"/>
    <w:p>
      <w:pPr>
        <w:spacing w:after="0"/>
        <w:ind w:left="0"/>
        <w:jc w:val="both"/>
      </w:pPr>
      <w:r>
        <w:rPr>
          <w:rFonts w:ascii="Times New Roman"/>
          <w:b w:val="false"/>
          <w:i w:val="false"/>
          <w:color w:val="000000"/>
          <w:sz w:val="28"/>
        </w:rPr>
        <w:t>
      7) отраслевая рамка квалификаций (далее - ОРК) – документ, разрабатываемый на основе Национального классификатора занятий Республики Казахстан,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21"/>
    <w:bookmarkStart w:name="z556" w:id="22"/>
    <w:p>
      <w:pPr>
        <w:spacing w:after="0"/>
        <w:ind w:left="0"/>
        <w:jc w:val="both"/>
      </w:pPr>
      <w:r>
        <w:rPr>
          <w:rFonts w:ascii="Times New Roman"/>
          <w:b w:val="false"/>
          <w:i w:val="false"/>
          <w:color w:val="000000"/>
          <w:sz w:val="28"/>
        </w:rPr>
        <w:t>
      8) неформальное образование – вид образования, запланированный, организованный и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c изменением, внесенным приказом Министра здравоохранения РК от 18.12.2025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23"/>
    <w:p>
      <w:pPr>
        <w:spacing w:after="0"/>
        <w:ind w:left="0"/>
        <w:jc w:val="both"/>
      </w:pPr>
      <w:r>
        <w:rPr>
          <w:rFonts w:ascii="Times New Roman"/>
          <w:b w:val="false"/>
          <w:i w:val="false"/>
          <w:color w:val="000000"/>
          <w:sz w:val="28"/>
        </w:rPr>
        <w:t xml:space="preserve">
      4. Результатами НПР работников системы здравоохранения являются документы, удостоверяющие результаты дополнительного, неформального образования, дополнительные компетенции и иные мероприятия по профессиональному развитию с учетом требований согласно </w:t>
      </w:r>
      <w:r>
        <w:rPr>
          <w:rFonts w:ascii="Times New Roman"/>
          <w:b w:val="false"/>
          <w:i w:val="false"/>
          <w:color w:val="000000"/>
          <w:sz w:val="28"/>
        </w:rPr>
        <w:t>пункту 3</w:t>
      </w:r>
      <w:r>
        <w:rPr>
          <w:rFonts w:ascii="Times New Roman"/>
          <w:b w:val="false"/>
          <w:i w:val="false"/>
          <w:color w:val="000000"/>
          <w:sz w:val="28"/>
        </w:rPr>
        <w:t xml:space="preserve"> статьи 269 Кодекса.</w:t>
      </w:r>
    </w:p>
    <w:bookmarkEnd w:id="23"/>
    <w:bookmarkStart w:name="z558" w:id="24"/>
    <w:p>
      <w:pPr>
        <w:spacing w:after="0"/>
        <w:ind w:left="0"/>
        <w:jc w:val="both"/>
      </w:pPr>
      <w:r>
        <w:rPr>
          <w:rFonts w:ascii="Times New Roman"/>
          <w:b w:val="false"/>
          <w:i w:val="false"/>
          <w:color w:val="000000"/>
          <w:sz w:val="28"/>
        </w:rPr>
        <w:t xml:space="preserve">
      Результаты НПР работников системы здравоохранения подтверждаются для сертификации специалистов в области здравоохранения согласно </w:t>
      </w:r>
      <w:r>
        <w:rPr>
          <w:rFonts w:ascii="Times New Roman"/>
          <w:b w:val="false"/>
          <w:i w:val="false"/>
          <w:color w:val="000000"/>
          <w:sz w:val="28"/>
        </w:rPr>
        <w:t>статье 27</w:t>
      </w:r>
      <w:r>
        <w:rPr>
          <w:rFonts w:ascii="Times New Roman"/>
          <w:b w:val="false"/>
          <w:i w:val="false"/>
          <w:color w:val="000000"/>
          <w:sz w:val="28"/>
        </w:rPr>
        <w:t xml:space="preserve"> Кодекса.</w:t>
      </w:r>
    </w:p>
    <w:bookmarkEnd w:id="24"/>
    <w:bookmarkStart w:name="z559" w:id="25"/>
    <w:p>
      <w:pPr>
        <w:spacing w:after="0"/>
        <w:ind w:left="0"/>
        <w:jc w:val="both"/>
      </w:pPr>
      <w:r>
        <w:rPr>
          <w:rFonts w:ascii="Times New Roman"/>
          <w:b w:val="false"/>
          <w:i w:val="false"/>
          <w:color w:val="000000"/>
          <w:sz w:val="28"/>
        </w:rPr>
        <w:t xml:space="preserve">
      5. Присвоение или подтверждение уровня квалификации, согласно ОРК сферы "Здравоохранение", работникам системы здравоохранения, имеющих образование по направлению подготовки "Здравоохранение", осуществляется на основании результата оценки профессиональной подготовленности, выданного аккредитованной организацией по оценке, в порядке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с соблюдением сроков прохождения и принципа последовательности уровней квалификации.</w:t>
      </w:r>
    </w:p>
    <w:bookmarkEnd w:id="25"/>
    <w:bookmarkStart w:name="z728" w:id="26"/>
    <w:p>
      <w:pPr>
        <w:spacing w:after="0"/>
        <w:ind w:left="0"/>
        <w:jc w:val="both"/>
      </w:pPr>
      <w:r>
        <w:rPr>
          <w:rFonts w:ascii="Times New Roman"/>
          <w:b w:val="false"/>
          <w:i w:val="false"/>
          <w:color w:val="000000"/>
          <w:sz w:val="28"/>
        </w:rPr>
        <w:t xml:space="preserve">
      Медицинские и фармацевтические работники, а также специалисты санитарно-эпидемиологической службы при наличии заключения аккредитованной организации по оценке, в рамках государственных услуг "Выдача сертификата специалиста для допуска к клинической практике", "Выдача сертификата иностранного специалиста для допуска к клинической практике", "Выдача сертификата специалиста в сфере санитарно-эпидемиологического благополучия населения", "Выдача сертификата специалиста в сфере обращения лекарственных средств и медицинских изделий" получают или подтверждают сертификат специалиста по специальности (специализации) с учетом присвоенного или подтвержденного уровня квалификации, в порядке,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18.12.2025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27"/>
    <w:p>
      <w:pPr>
        <w:spacing w:after="0"/>
        <w:ind w:left="0"/>
        <w:jc w:val="left"/>
      </w:pPr>
      <w:r>
        <w:rPr>
          <w:rFonts w:ascii="Times New Roman"/>
          <w:b/>
          <w:i w:val="false"/>
          <w:color w:val="000000"/>
        </w:rPr>
        <w:t xml:space="preserve"> Глава 2. Порядок подтверждения результатов непрерывного профессионального развития работников системы здравоохранения</w:t>
      </w:r>
    </w:p>
    <w:bookmarkEnd w:id="27"/>
    <w:bookmarkStart w:name="z562" w:id="28"/>
    <w:p>
      <w:pPr>
        <w:spacing w:after="0"/>
        <w:ind w:left="0"/>
        <w:jc w:val="both"/>
      </w:pPr>
      <w:r>
        <w:rPr>
          <w:rFonts w:ascii="Times New Roman"/>
          <w:b w:val="false"/>
          <w:i w:val="false"/>
          <w:color w:val="000000"/>
          <w:sz w:val="28"/>
        </w:rPr>
        <w:t>
      6. Результаты НПР работников системы здравоохранения подтверждаются за последние 5 лет руководителем организации здравоохранения или физическим лицом, занимающимся частной медицинской практикой и фармацевтической деятельностью.</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18.12.2025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29"/>
    <w:p>
      <w:pPr>
        <w:spacing w:after="0"/>
        <w:ind w:left="0"/>
        <w:jc w:val="both"/>
      </w:pPr>
      <w:r>
        <w:rPr>
          <w:rFonts w:ascii="Times New Roman"/>
          <w:b w:val="false"/>
          <w:i w:val="false"/>
          <w:color w:val="000000"/>
          <w:sz w:val="28"/>
        </w:rPr>
        <w:t xml:space="preserve">
      7. Работники системы здравоохранения при наличии удостоверяющих документов о результатах НПР, соответствующих критериям подтверждения результатов НПР работников системы здравоохранения,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предоставляют подтверждающие документы в службу управления персоналом по месту основной деятельности.</w:t>
      </w:r>
    </w:p>
    <w:bookmarkEnd w:id="29"/>
    <w:bookmarkStart w:name="z729" w:id="30"/>
    <w:p>
      <w:pPr>
        <w:spacing w:after="0"/>
        <w:ind w:left="0"/>
        <w:jc w:val="both"/>
      </w:pPr>
      <w:r>
        <w:rPr>
          <w:rFonts w:ascii="Times New Roman"/>
          <w:b w:val="false"/>
          <w:i w:val="false"/>
          <w:color w:val="000000"/>
          <w:sz w:val="28"/>
        </w:rPr>
        <w:t xml:space="preserve">
      Физические лица, занимающиеся частной медицинской практикой и фармацевтической деятельностью при наличии удостоверяющих документов о результатах НПР, соответствующих критериям подтверждения результатов НПР работников системы здравоохранения,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предоставляют в аккредитованную организацию по оценке подтверждение результатов НПР работников системы здравоохранения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730" w:id="31"/>
    <w:p>
      <w:pPr>
        <w:spacing w:after="0"/>
        <w:ind w:left="0"/>
        <w:jc w:val="both"/>
      </w:pPr>
      <w:r>
        <w:rPr>
          <w:rFonts w:ascii="Times New Roman"/>
          <w:b w:val="false"/>
          <w:i w:val="false"/>
          <w:color w:val="000000"/>
          <w:sz w:val="28"/>
        </w:rPr>
        <w:t xml:space="preserve">
      Документы, выданные на иностранном языке, предоставляются с нотариально заверенным переводом на казахском или русском языке.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18.12.2025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32"/>
    <w:p>
      <w:pPr>
        <w:spacing w:after="0"/>
        <w:ind w:left="0"/>
        <w:jc w:val="both"/>
      </w:pPr>
      <w:r>
        <w:rPr>
          <w:rFonts w:ascii="Times New Roman"/>
          <w:b w:val="false"/>
          <w:i w:val="false"/>
          <w:color w:val="000000"/>
          <w:sz w:val="28"/>
        </w:rPr>
        <w:t>
      8. Служба управления персоналом и руководитель организации здравоохранения или физическое лицо, занимающееся частной медицинской практикой и фармацевтической деятельностью, начисляют ЗЕ за каждый критерий результата НПР.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18.12.2025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33"/>
    <w:p>
      <w:pPr>
        <w:spacing w:after="0"/>
        <w:ind w:left="0"/>
        <w:jc w:val="both"/>
      </w:pPr>
      <w:r>
        <w:rPr>
          <w:rFonts w:ascii="Times New Roman"/>
          <w:b w:val="false"/>
          <w:i w:val="false"/>
          <w:color w:val="000000"/>
          <w:sz w:val="28"/>
        </w:rPr>
        <w:t>
      9. Итоговый результат НПР рассчитывается путем суммирования ЗЕ за дополнительное образование, неформальное образование и дополнительные компетенции.</w:t>
      </w:r>
    </w:p>
    <w:bookmarkEnd w:id="33"/>
    <w:bookmarkStart w:name="z567" w:id="34"/>
    <w:p>
      <w:pPr>
        <w:spacing w:after="0"/>
        <w:ind w:left="0"/>
        <w:jc w:val="both"/>
      </w:pPr>
      <w:r>
        <w:rPr>
          <w:rFonts w:ascii="Times New Roman"/>
          <w:b w:val="false"/>
          <w:i w:val="false"/>
          <w:color w:val="000000"/>
          <w:sz w:val="28"/>
        </w:rPr>
        <w:t>
      ЗЕ по результатам дополнительного образования (повышение квалификации) рассчитываются за последние 5 лет согласно Главе 1 приложения 1 к настоящим Правилам.</w:t>
      </w:r>
    </w:p>
    <w:bookmarkEnd w:id="34"/>
    <w:bookmarkStart w:name="z568" w:id="35"/>
    <w:p>
      <w:pPr>
        <w:spacing w:after="0"/>
        <w:ind w:left="0"/>
        <w:jc w:val="both"/>
      </w:pPr>
      <w:r>
        <w:rPr>
          <w:rFonts w:ascii="Times New Roman"/>
          <w:b w:val="false"/>
          <w:i w:val="false"/>
          <w:color w:val="000000"/>
          <w:sz w:val="28"/>
        </w:rPr>
        <w:t>
      ЗЕ по результатам неформального образования рассчитываются согласно Главе 2 приложения 1 к настоящим Правилам, по дополнительным компетенциям - согласно Главе 3 приложения 1 к настоящим Правилам.</w:t>
      </w:r>
    </w:p>
    <w:bookmarkEnd w:id="35"/>
    <w:bookmarkStart w:name="z569" w:id="36"/>
    <w:p>
      <w:pPr>
        <w:spacing w:after="0"/>
        <w:ind w:left="0"/>
        <w:jc w:val="both"/>
      </w:pPr>
      <w:r>
        <w:rPr>
          <w:rFonts w:ascii="Times New Roman"/>
          <w:b w:val="false"/>
          <w:i w:val="false"/>
          <w:color w:val="000000"/>
          <w:sz w:val="28"/>
        </w:rPr>
        <w:t xml:space="preserve">
      10. Подтвержденные результаты НПР оформляются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6"/>
    <w:bookmarkStart w:name="z570" w:id="37"/>
    <w:p>
      <w:pPr>
        <w:spacing w:after="0"/>
        <w:ind w:left="0"/>
        <w:jc w:val="both"/>
      </w:pPr>
      <w:r>
        <w:rPr>
          <w:rFonts w:ascii="Times New Roman"/>
          <w:b w:val="false"/>
          <w:i w:val="false"/>
          <w:color w:val="000000"/>
          <w:sz w:val="28"/>
        </w:rPr>
        <w:t>
      11. Основанием для отказа в подтверждении результатов НПР является несоответствие документов, удостоверяющих результаты НПР требованиям к критериям.</w:t>
      </w:r>
    </w:p>
    <w:bookmarkEnd w:id="37"/>
    <w:bookmarkStart w:name="z571" w:id="38"/>
    <w:p>
      <w:pPr>
        <w:spacing w:after="0"/>
        <w:ind w:left="0"/>
        <w:jc w:val="left"/>
      </w:pPr>
      <w:r>
        <w:rPr>
          <w:rFonts w:ascii="Times New Roman"/>
          <w:b/>
          <w:i w:val="false"/>
          <w:color w:val="000000"/>
        </w:rPr>
        <w:t xml:space="preserve"> Глава 3. Порядок присвоения и подтверждения уровня квалификации</w:t>
      </w:r>
    </w:p>
    <w:bookmarkEnd w:id="38"/>
    <w:bookmarkStart w:name="z572" w:id="39"/>
    <w:p>
      <w:pPr>
        <w:spacing w:after="0"/>
        <w:ind w:left="0"/>
        <w:jc w:val="both"/>
      </w:pPr>
      <w:r>
        <w:rPr>
          <w:rFonts w:ascii="Times New Roman"/>
          <w:b w:val="false"/>
          <w:i w:val="false"/>
          <w:color w:val="000000"/>
          <w:sz w:val="28"/>
        </w:rPr>
        <w:t>
      12. Работник системы здравоохранения, претендующий на присвоение или подтверждение уровня квалификации, предоставляет в аккредитованную организацию по оценке результатов НПР согласно пункту 6 настоящих Правил.</w:t>
      </w:r>
    </w:p>
    <w:bookmarkEnd w:id="39"/>
    <w:bookmarkStart w:name="z573" w:id="40"/>
    <w:p>
      <w:pPr>
        <w:spacing w:after="0"/>
        <w:ind w:left="0"/>
        <w:jc w:val="both"/>
      </w:pPr>
      <w:r>
        <w:rPr>
          <w:rFonts w:ascii="Times New Roman"/>
          <w:b w:val="false"/>
          <w:i w:val="false"/>
          <w:color w:val="000000"/>
          <w:sz w:val="28"/>
        </w:rPr>
        <w:t>
      Для присвоения очередного уровня квалификации работнику системы здравоохранения необходимо:</w:t>
      </w:r>
    </w:p>
    <w:bookmarkEnd w:id="40"/>
    <w:bookmarkStart w:name="z574" w:id="41"/>
    <w:p>
      <w:pPr>
        <w:spacing w:after="0"/>
        <w:ind w:left="0"/>
        <w:jc w:val="both"/>
      </w:pPr>
      <w:r>
        <w:rPr>
          <w:rFonts w:ascii="Times New Roman"/>
          <w:b w:val="false"/>
          <w:i w:val="false"/>
          <w:color w:val="000000"/>
          <w:sz w:val="28"/>
        </w:rPr>
        <w:t>
      1) наличие образования в области здравоохранения, соответствующего уровню квалификации, подтвержденного дипломом об образовании;</w:t>
      </w:r>
    </w:p>
    <w:bookmarkEnd w:id="41"/>
    <w:bookmarkStart w:name="z575" w:id="42"/>
    <w:p>
      <w:pPr>
        <w:spacing w:after="0"/>
        <w:ind w:left="0"/>
        <w:jc w:val="both"/>
      </w:pPr>
      <w:r>
        <w:rPr>
          <w:rFonts w:ascii="Times New Roman"/>
          <w:b w:val="false"/>
          <w:i w:val="false"/>
          <w:color w:val="000000"/>
          <w:sz w:val="28"/>
        </w:rPr>
        <w:t>
      2) результат оценки профессиональной подготовленности, выданный аккредитованной организацией по оценке.</w:t>
      </w:r>
    </w:p>
    <w:bookmarkEnd w:id="42"/>
    <w:bookmarkStart w:name="z576" w:id="43"/>
    <w:p>
      <w:pPr>
        <w:spacing w:after="0"/>
        <w:ind w:left="0"/>
        <w:jc w:val="both"/>
      </w:pPr>
      <w:r>
        <w:rPr>
          <w:rFonts w:ascii="Times New Roman"/>
          <w:b w:val="false"/>
          <w:i w:val="false"/>
          <w:color w:val="000000"/>
          <w:sz w:val="28"/>
        </w:rPr>
        <w:t>
      3) выполнение трудовых функций, соответствующих заявленному уровню квалификации согласно требованиям профессионального стандарта, подтвержденные отчетом из электронного регистра услуг или о профессиональной деятельности, подписанного руководителем структурного подразделения;</w:t>
      </w:r>
    </w:p>
    <w:bookmarkEnd w:id="43"/>
    <w:bookmarkStart w:name="z577" w:id="44"/>
    <w:p>
      <w:pPr>
        <w:spacing w:after="0"/>
        <w:ind w:left="0"/>
        <w:jc w:val="both"/>
      </w:pPr>
      <w:r>
        <w:rPr>
          <w:rFonts w:ascii="Times New Roman"/>
          <w:b w:val="false"/>
          <w:i w:val="false"/>
          <w:color w:val="000000"/>
          <w:sz w:val="28"/>
        </w:rPr>
        <w:t>
      4) подтвержденные результаты НПР, заверенные службой управления персоналом и руководителем организации здравоохранения или физическим лицом, занимающимся частной медицинской практикой и фармацевтической деятельностью.</w:t>
      </w:r>
    </w:p>
    <w:bookmarkEnd w:id="44"/>
    <w:bookmarkStart w:name="z578" w:id="45"/>
    <w:p>
      <w:pPr>
        <w:spacing w:after="0"/>
        <w:ind w:left="0"/>
        <w:jc w:val="both"/>
      </w:pPr>
      <w:r>
        <w:rPr>
          <w:rFonts w:ascii="Times New Roman"/>
          <w:b w:val="false"/>
          <w:i w:val="false"/>
          <w:color w:val="000000"/>
          <w:sz w:val="28"/>
        </w:rPr>
        <w:t>
      Работники системы здравоохранения, у которых срок действия свидетельства о присвоении квалификационной категории истек после 1 января 2021 года, претендуют на получение соответствующего (эквивалентного) уровня квалификации без прохождения этапа оценки знаний и кейс-тестинг (решение ситуационных задач).</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c изменением, внесенным приказом Министра здравоохранения РК от 18.12.2025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46"/>
    <w:p>
      <w:pPr>
        <w:spacing w:after="0"/>
        <w:ind w:left="0"/>
        <w:jc w:val="both"/>
      </w:pPr>
      <w:r>
        <w:rPr>
          <w:rFonts w:ascii="Times New Roman"/>
          <w:b w:val="false"/>
          <w:i w:val="false"/>
          <w:color w:val="000000"/>
          <w:sz w:val="28"/>
        </w:rPr>
        <w:t xml:space="preserve">
      13. Для достижения соответствующего уровня квалификации необходимы мероприятия НПР, включающие дополнительное, неформальное образование и дополнительные компетенции по критериям подтверждения результатов непрерывного профессионального развития работников системы здравоохранения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6"/>
    <w:bookmarkStart w:name="z580" w:id="47"/>
    <w:p>
      <w:pPr>
        <w:spacing w:after="0"/>
        <w:ind w:left="0"/>
        <w:jc w:val="both"/>
      </w:pPr>
      <w:r>
        <w:rPr>
          <w:rFonts w:ascii="Times New Roman"/>
          <w:b w:val="false"/>
          <w:i w:val="false"/>
          <w:color w:val="000000"/>
          <w:sz w:val="28"/>
        </w:rPr>
        <w:t>
      14. Общий объем мероприятий непрерывного профессионального развития для уровней квалификаций составляет не менее 210 ЗЕ.</w:t>
      </w:r>
    </w:p>
    <w:bookmarkEnd w:id="47"/>
    <w:bookmarkStart w:name="z581" w:id="48"/>
    <w:p>
      <w:pPr>
        <w:spacing w:after="0"/>
        <w:ind w:left="0"/>
        <w:jc w:val="both"/>
      </w:pPr>
      <w:r>
        <w:rPr>
          <w:rFonts w:ascii="Times New Roman"/>
          <w:b w:val="false"/>
          <w:i w:val="false"/>
          <w:color w:val="000000"/>
          <w:sz w:val="28"/>
        </w:rPr>
        <w:t xml:space="preserve">
      15. Дополнительное и (или) неформальное образование, полученное работниками системы здравоохранения в зарубежных организациях, входящих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КьюЭс Ворлд Юниверсити Ранкинг), академический рейтинг университетов мира (Academic Ranking of World Universities, Академик Ранкинг оф Ворлд Юниверситиес), рейтинг лучших университетов мира по версии издания Таймс (Times Higher Education World University Rankings, Таймс Хайер Едукейшн Ворлд Юниверсити Ранкинг),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признаются действительными в Республике Казахстан при предъявлении оригинала документа.</w:t>
      </w:r>
    </w:p>
    <w:bookmarkEnd w:id="48"/>
    <w:bookmarkStart w:name="z582" w:id="49"/>
    <w:p>
      <w:pPr>
        <w:spacing w:after="0"/>
        <w:ind w:left="0"/>
        <w:jc w:val="both"/>
      </w:pPr>
      <w:r>
        <w:rPr>
          <w:rFonts w:ascii="Times New Roman"/>
          <w:b w:val="false"/>
          <w:i w:val="false"/>
          <w:color w:val="000000"/>
          <w:sz w:val="28"/>
        </w:rPr>
        <w:t xml:space="preserve">
      16. Работникам системы здравоохранения присваиваются начальный или очередной уровень квалификации на основании результата оценки профессиональной подготовленности, выданном аккредитованной организацией по оценке в порядке,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bookmarkEnd w:id="49"/>
    <w:bookmarkStart w:name="z583" w:id="50"/>
    <w:p>
      <w:pPr>
        <w:spacing w:after="0"/>
        <w:ind w:left="0"/>
        <w:jc w:val="both"/>
      </w:pPr>
      <w:r>
        <w:rPr>
          <w:rFonts w:ascii="Times New Roman"/>
          <w:b w:val="false"/>
          <w:i w:val="false"/>
          <w:color w:val="000000"/>
          <w:sz w:val="28"/>
        </w:rPr>
        <w:t xml:space="preserve">
      17. Начальные уровни квалификации 4.0, 5.0, 6.0, 7.0 (I), 7.1 (R) присваиваются выпускникам организаций образования и научных организаций в области здравоохранения в соответствии с ОРК в сфере здравоохранения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0"/>
    <w:bookmarkStart w:name="z584" w:id="51"/>
    <w:p>
      <w:pPr>
        <w:spacing w:after="0"/>
        <w:ind w:left="0"/>
        <w:jc w:val="both"/>
      </w:pPr>
      <w:r>
        <w:rPr>
          <w:rFonts w:ascii="Times New Roman"/>
          <w:b w:val="false"/>
          <w:i w:val="false"/>
          <w:color w:val="000000"/>
          <w:sz w:val="28"/>
        </w:rPr>
        <w:t xml:space="preserve">
      18. Уровень квалификации по специализации присваивается в рамках основной специальности,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30 ноября 2020 года №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под № 21699).</w:t>
      </w:r>
    </w:p>
    <w:bookmarkEnd w:id="51"/>
    <w:bookmarkStart w:name="z585" w:id="52"/>
    <w:p>
      <w:pPr>
        <w:spacing w:after="0"/>
        <w:ind w:left="0"/>
        <w:jc w:val="both"/>
      </w:pPr>
      <w:r>
        <w:rPr>
          <w:rFonts w:ascii="Times New Roman"/>
          <w:b w:val="false"/>
          <w:i w:val="false"/>
          <w:color w:val="000000"/>
          <w:sz w:val="28"/>
        </w:rPr>
        <w:t xml:space="preserve">
      19. При присвоении очередного уровня квалификации соблюдается последовательность уровней квалификаций, установленная ОРК сферы "Здравоохранение"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2"/>
    <w:bookmarkStart w:name="z586" w:id="53"/>
    <w:p>
      <w:pPr>
        <w:spacing w:after="0"/>
        <w:ind w:left="0"/>
        <w:jc w:val="both"/>
      </w:pPr>
      <w:r>
        <w:rPr>
          <w:rFonts w:ascii="Times New Roman"/>
          <w:b w:val="false"/>
          <w:i w:val="false"/>
          <w:color w:val="000000"/>
          <w:sz w:val="28"/>
        </w:rPr>
        <w:t>
      Работники системы здравоохранения, имеющие бессрочные свидетельства о присвоении категории, переоформляют их на сертификат специалиста по специальности с соответствующим уровнем квалификации без прохождения оценки профессиональной подготовленности.</w:t>
      </w:r>
    </w:p>
    <w:bookmarkEnd w:id="53"/>
    <w:bookmarkStart w:name="z587" w:id="54"/>
    <w:p>
      <w:pPr>
        <w:spacing w:after="0"/>
        <w:ind w:left="0"/>
        <w:jc w:val="both"/>
      </w:pPr>
      <w:r>
        <w:rPr>
          <w:rFonts w:ascii="Times New Roman"/>
          <w:b w:val="false"/>
          <w:i w:val="false"/>
          <w:color w:val="000000"/>
          <w:sz w:val="28"/>
        </w:rPr>
        <w:t>
      Работники системы здравоохранения по специальности "Сестринское дело" при получении послесредного или высшего медицинского образования той же специальности переоформляют сертификат специалиста с сохранением уровня квалификации эквивалентной квалификационной категории с учетом предыдущего стажа работы.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подтверждения результатов </w:t>
            </w:r>
            <w:r>
              <w:br/>
            </w:r>
            <w:r>
              <w:rPr>
                <w:rFonts w:ascii="Times New Roman"/>
                <w:b w:val="false"/>
                <w:i w:val="false"/>
                <w:color w:val="000000"/>
                <w:sz w:val="20"/>
              </w:rPr>
              <w:t>непрерывного профессионального</w:t>
            </w:r>
            <w:r>
              <w:br/>
            </w:r>
            <w:r>
              <w:rPr>
                <w:rFonts w:ascii="Times New Roman"/>
                <w:b w:val="false"/>
                <w:i w:val="false"/>
                <w:color w:val="000000"/>
                <w:sz w:val="20"/>
              </w:rPr>
              <w:t>развития, присвоения и</w:t>
            </w:r>
            <w:r>
              <w:br/>
            </w:r>
            <w:r>
              <w:rPr>
                <w:rFonts w:ascii="Times New Roman"/>
                <w:b w:val="false"/>
                <w:i w:val="false"/>
                <w:color w:val="000000"/>
                <w:sz w:val="20"/>
              </w:rPr>
              <w:t>подтверждения уровня</w:t>
            </w:r>
            <w:r>
              <w:br/>
            </w:r>
            <w:r>
              <w:rPr>
                <w:rFonts w:ascii="Times New Roman"/>
                <w:b w:val="false"/>
                <w:i w:val="false"/>
                <w:color w:val="000000"/>
                <w:sz w:val="20"/>
              </w:rPr>
              <w:t>квалификации работников</w:t>
            </w:r>
            <w:r>
              <w:br/>
            </w:r>
            <w:r>
              <w:rPr>
                <w:rFonts w:ascii="Times New Roman"/>
                <w:b w:val="false"/>
                <w:i w:val="false"/>
                <w:color w:val="000000"/>
                <w:sz w:val="20"/>
              </w:rPr>
              <w:t>системы здравоохранения</w:t>
            </w:r>
          </w:p>
        </w:tc>
      </w:tr>
    </w:tbl>
    <w:p>
      <w:pPr>
        <w:spacing w:after="0"/>
        <w:ind w:left="0"/>
        <w:jc w:val="both"/>
      </w:pPr>
      <w:r>
        <w:rPr>
          <w:rFonts w:ascii="Times New Roman"/>
          <w:b w:val="false"/>
          <w:i w:val="false"/>
          <w:color w:val="ff0000"/>
          <w:sz w:val="28"/>
        </w:rPr>
        <w:t xml:space="preserve">
      Сноска. В правый верхний угол приложения 1 вносятся изменения на казахском языке, текст на русском языке не меняется, в соответствии с приказом Министра здравоохранения РК от 18.12.2025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55"/>
    <w:p>
      <w:pPr>
        <w:spacing w:after="0"/>
        <w:ind w:left="0"/>
        <w:jc w:val="left"/>
      </w:pPr>
      <w:r>
        <w:rPr>
          <w:rFonts w:ascii="Times New Roman"/>
          <w:b/>
          <w:i w:val="false"/>
          <w:color w:val="000000"/>
        </w:rPr>
        <w:t xml:space="preserve"> Критерии подтверждения результатов непрерывного профессионального развития работников системы здравоохранения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критерия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Требование к критерию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Дополнительное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(цикл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соответствии с уровнем образовательной программы;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1 зачетной единице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повышения квалификации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Неформальное образование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по профилю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городского,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 10 зачетных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о выполнении индивидуального плана стажировки, информация о приобретенных в ходе стажировки знаний, умений и навыков, отзыв руководителя структурного подразделения на специалиста в области здравоохранения по итогам стажировки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 30 зачетные 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очных обучениях семинарах, тренингах, мастер-классах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0,5 зачетная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обучения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вебинарах, онлайн курсах, иных обучающих мероприятиях, проводимых с использованием технологий дистанционного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0,5 зачетная единицы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Дополнительные компетенции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съезда, конгресса, конференции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городского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 = 5 зачетных единиц; доклад = 10 зачетных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участника и (или) программа конференции с указанием Ф.И.О. докладчика, темы, места проведения, организатора проведения, 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 = 10 зачетных единиц; доклад = 50 зачетных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 40 зачетных единиц; доклад = 100 зачетных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монографии, руководства, методических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автором или в моноавторстве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 180 зачетных единиц; руководство, методические рекомендации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монографии, руководства, методических рекомендаций, первый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учебника (книги)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автором или в моноавторстве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учебник (книга) =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опубликованного учебника (книги)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изданиях, входящих в перечень рекомендованных Комитетом по обеспечению качества в науки и высшего образования Министерства науки и высшего образования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3 авторам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 20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статьи, первые 3 автора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по в республиканских и зарубежных изданиях, не входящих в перечень рекомендованных Комитетом по обеспечению качества в науки и высшего образования Министерства науки и высшего образования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3 авторам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статьи, первые 3 автора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изданиях, индексируемых в Scopus, WebofScience, Springer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квартиль журнала Q4 = 90 зачетных единиц; 1 статья, квартиль журнала Q3 = 120 зачетных единиц; 1 статья, квартиль журнала Q2 = 150 зачетных единиц; 1 статья, квартиль журнала Q1=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опубликованную статью в базе данных Scopus, Web of Science, Springer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патента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республиканского уровня = 60 зачетных единиц; 1 патент зарубежного уровня =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патента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об интеллектуальной собственности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об интеллектуальной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Наставничество, педагогическая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в качестве наставника или ментора для обучающихся медицинских организаций образования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медицинской организации о назначении наставником, и (или) свидетельство о повышении квалификации по наставничеству и (или) менторству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Наставничество для молодых и вновь принятых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в качестве наставника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о назначении наставником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практическую деятельность инновационной научной или практической методики диагностики лечения, профилактики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внедрения = 60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внедрения с участием местного органа управления здравоохранением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профессиональной ассоциации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не менее чем 1 год с активным членством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регионального уровня = 10 зачетных единиц; республиканского уровня = 30 зачетных единиц; международного уровня = 60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членство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экспертных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течение 5 лет не менее чем 1 год с активным членством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 = 90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экспертную деятельность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Экспертная и (или) тренерская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p>
            <w:pPr>
              <w:spacing w:after="20"/>
              <w:ind w:left="20"/>
              <w:jc w:val="both"/>
            </w:pPr>
            <w:r>
              <w:rPr>
                <w:rFonts w:ascii="Times New Roman"/>
                <w:b w:val="false"/>
                <w:i w:val="false"/>
                <w:color w:val="000000"/>
                <w:sz w:val="20"/>
              </w:rPr>
              <w:t>
в течение года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экспертную и тренерскую деятельность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нормативно-правовых и иных регламентирующих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p>
            <w:pPr>
              <w:spacing w:after="20"/>
              <w:ind w:left="20"/>
              <w:jc w:val="both"/>
            </w:pPr>
            <w:r>
              <w:rPr>
                <w:rFonts w:ascii="Times New Roman"/>
                <w:b w:val="false"/>
                <w:i w:val="false"/>
                <w:color w:val="000000"/>
                <w:sz w:val="20"/>
              </w:rPr>
              <w:t>
республиканского уровня (клинические протоколы, клинические сестринские руководства, стандарты операционных процедур, отраслевые программы, государственные стандарты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о составе рабочей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содержательной или тестологической экспертизе экзаменационного материала (тестовые вопросы и клинические сценарии) аккредитованной организации по оценке знаний и навыков обучающихся, профессиональной подготовленности выпускников и специалистов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тестовых вопросов = 1 зачетная единица; 10 клинических сценариев = 1 зачетная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акта экспертизы экзаменационного материала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независимой экспертной комиссии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течение 5 лет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90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протокола заседания независимой экспертной комиссии об участии эксперта и копия приказа об утверждении состава независимой экспертной комиссии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56"/>
    <w:p>
      <w:pPr>
        <w:spacing w:after="0"/>
        <w:ind w:left="0"/>
        <w:jc w:val="left"/>
      </w:pPr>
      <w:r>
        <w:rPr>
          <w:rFonts w:ascii="Times New Roman"/>
          <w:b/>
          <w:i w:val="false"/>
          <w:color w:val="000000"/>
        </w:rPr>
        <w:t xml:space="preserve"> Подтверждение результатов непрерывного профессионального развития работников системы здравоохранения</w:t>
      </w:r>
    </w:p>
    <w:bookmarkEnd w:id="56"/>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18.12.2025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1" w:id="57"/>
    <w:p>
      <w:pPr>
        <w:spacing w:after="0"/>
        <w:ind w:left="0"/>
        <w:jc w:val="both"/>
      </w:pPr>
      <w:r>
        <w:rPr>
          <w:rFonts w:ascii="Times New Roman"/>
          <w:b w:val="false"/>
          <w:i w:val="false"/>
          <w:color w:val="000000"/>
          <w:sz w:val="28"/>
        </w:rPr>
        <w:t>
      1. Фамилия, имя, отчество (при наличии) ____________________________</w:t>
      </w:r>
    </w:p>
    <w:bookmarkEnd w:id="57"/>
    <w:bookmarkStart w:name="z732" w:id="58"/>
    <w:p>
      <w:pPr>
        <w:spacing w:after="0"/>
        <w:ind w:left="0"/>
        <w:jc w:val="both"/>
      </w:pPr>
      <w:r>
        <w:rPr>
          <w:rFonts w:ascii="Times New Roman"/>
          <w:b w:val="false"/>
          <w:i w:val="false"/>
          <w:color w:val="000000"/>
          <w:sz w:val="28"/>
        </w:rPr>
        <w:t>
      2. Заявляемая специальность _______________________________________</w:t>
      </w:r>
    </w:p>
    <w:bookmarkEnd w:id="58"/>
    <w:bookmarkStart w:name="z733" w:id="59"/>
    <w:p>
      <w:pPr>
        <w:spacing w:after="0"/>
        <w:ind w:left="0"/>
        <w:jc w:val="both"/>
      </w:pPr>
      <w:r>
        <w:rPr>
          <w:rFonts w:ascii="Times New Roman"/>
          <w:b w:val="false"/>
          <w:i w:val="false"/>
          <w:color w:val="000000"/>
          <w:sz w:val="28"/>
        </w:rPr>
        <w:t>
      3. Общий стаж работника системы здравоохранения (лет, месяцев, дней) _</w:t>
      </w:r>
    </w:p>
    <w:bookmarkEnd w:id="59"/>
    <w:bookmarkStart w:name="z734" w:id="60"/>
    <w:p>
      <w:pPr>
        <w:spacing w:after="0"/>
        <w:ind w:left="0"/>
        <w:jc w:val="both"/>
      </w:pPr>
      <w:r>
        <w:rPr>
          <w:rFonts w:ascii="Times New Roman"/>
          <w:b w:val="false"/>
          <w:i w:val="false"/>
          <w:color w:val="000000"/>
          <w:sz w:val="28"/>
        </w:rPr>
        <w:t>
      4. Стаж работы по заявляемой специальности (лет, месяцев, дней) _______</w:t>
      </w:r>
    </w:p>
    <w:bookmarkEnd w:id="60"/>
    <w:bookmarkStart w:name="z735" w:id="61"/>
    <w:p>
      <w:pPr>
        <w:spacing w:after="0"/>
        <w:ind w:left="0"/>
        <w:jc w:val="both"/>
      </w:pPr>
      <w:r>
        <w:rPr>
          <w:rFonts w:ascii="Times New Roman"/>
          <w:b w:val="false"/>
          <w:i w:val="false"/>
          <w:color w:val="000000"/>
          <w:sz w:val="28"/>
        </w:rPr>
        <w:t>
      5. Место работы в настоящее время _________________________________</w:t>
      </w:r>
    </w:p>
    <w:bookmarkEnd w:id="61"/>
    <w:bookmarkStart w:name="z736" w:id="62"/>
    <w:p>
      <w:pPr>
        <w:spacing w:after="0"/>
        <w:ind w:left="0"/>
        <w:jc w:val="both"/>
      </w:pPr>
      <w:r>
        <w:rPr>
          <w:rFonts w:ascii="Times New Roman"/>
          <w:b w:val="false"/>
          <w:i w:val="false"/>
          <w:color w:val="000000"/>
          <w:sz w:val="28"/>
        </w:rPr>
        <w:t>
      6. Занимаемая должность __________________________________________</w:t>
      </w:r>
    </w:p>
    <w:bookmarkEnd w:id="62"/>
    <w:p>
      <w:pPr>
        <w:spacing w:after="0"/>
        <w:ind w:left="0"/>
        <w:jc w:val="both"/>
      </w:pPr>
      <w:bookmarkStart w:name="z737" w:id="63"/>
      <w:r>
        <w:rPr>
          <w:rFonts w:ascii="Times New Roman"/>
          <w:b w:val="false"/>
          <w:i w:val="false"/>
          <w:color w:val="000000"/>
          <w:sz w:val="28"/>
        </w:rPr>
        <w:t>
      7. Трудовая деятельность по заявляемой специальности</w:t>
      </w:r>
    </w:p>
    <w:bookmarkEnd w:id="63"/>
    <w:p>
      <w:pPr>
        <w:spacing w:after="0"/>
        <w:ind w:left="0"/>
        <w:jc w:val="both"/>
      </w:pPr>
      <w:r>
        <w:rPr>
          <w:rFonts w:ascii="Times New Roman"/>
          <w:b w:val="false"/>
          <w:i w:val="false"/>
          <w:color w:val="000000"/>
          <w:sz w:val="28"/>
        </w:rPr>
        <w:t>(на момент подтверждения результатов непрерывного профессионального</w:t>
      </w:r>
    </w:p>
    <w:p>
      <w:pPr>
        <w:spacing w:after="0"/>
        <w:ind w:left="0"/>
        <w:jc w:val="both"/>
      </w:pPr>
      <w:r>
        <w:rPr>
          <w:rFonts w:ascii="Times New Roman"/>
          <w:b w:val="false"/>
          <w:i w:val="false"/>
          <w:color w:val="000000"/>
          <w:sz w:val="28"/>
        </w:rPr>
        <w:t>развития по заявляемой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4"/>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приема</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65"/>
    <w:p>
      <w:pPr>
        <w:spacing w:after="0"/>
        <w:ind w:left="0"/>
        <w:jc w:val="both"/>
      </w:pPr>
      <w:r>
        <w:rPr>
          <w:rFonts w:ascii="Times New Roman"/>
          <w:b w:val="false"/>
          <w:i w:val="false"/>
          <w:color w:val="000000"/>
          <w:sz w:val="28"/>
        </w:rPr>
        <w:t>
      8. Уровень отраслевой рамки квалификаций ________________________</w:t>
      </w:r>
    </w:p>
    <w:bookmarkEnd w:id="65"/>
    <w:bookmarkStart w:name="z760" w:id="66"/>
    <w:p>
      <w:pPr>
        <w:spacing w:after="0"/>
        <w:ind w:left="0"/>
        <w:jc w:val="both"/>
      </w:pPr>
      <w:r>
        <w:rPr>
          <w:rFonts w:ascii="Times New Roman"/>
          <w:b w:val="false"/>
          <w:i w:val="false"/>
          <w:color w:val="000000"/>
          <w:sz w:val="28"/>
        </w:rPr>
        <w:t>
      9. Квалификационная категория (при наличии) ______________________</w:t>
      </w:r>
    </w:p>
    <w:bookmarkEnd w:id="66"/>
    <w:bookmarkStart w:name="z761" w:id="67"/>
    <w:p>
      <w:pPr>
        <w:spacing w:after="0"/>
        <w:ind w:left="0"/>
        <w:jc w:val="both"/>
      </w:pPr>
      <w:r>
        <w:rPr>
          <w:rFonts w:ascii="Times New Roman"/>
          <w:b w:val="false"/>
          <w:i w:val="false"/>
          <w:color w:val="000000"/>
          <w:sz w:val="28"/>
        </w:rPr>
        <w:t>
      10. Послевузовское образование (при наличии) ______________________</w:t>
      </w:r>
    </w:p>
    <w:bookmarkEnd w:id="67"/>
    <w:bookmarkStart w:name="z762" w:id="68"/>
    <w:p>
      <w:pPr>
        <w:spacing w:after="0"/>
        <w:ind w:left="0"/>
        <w:jc w:val="both"/>
      </w:pPr>
      <w:r>
        <w:rPr>
          <w:rFonts w:ascii="Times New Roman"/>
          <w:b w:val="false"/>
          <w:i w:val="false"/>
          <w:color w:val="000000"/>
          <w:sz w:val="28"/>
        </w:rPr>
        <w:t>
      11. Результаты НПР _____________________________________________</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 зачетных единицах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
          <w:p>
            <w:pPr>
              <w:spacing w:after="20"/>
              <w:ind w:left="20"/>
              <w:jc w:val="both"/>
            </w:pPr>
            <w:r>
              <w:rPr>
                <w:rFonts w:ascii="Times New Roman"/>
                <w:b w:val="false"/>
                <w:i w:val="false"/>
                <w:color w:val="000000"/>
                <w:sz w:val="20"/>
              </w:rPr>
              <w:t>
</w:t>
            </w:r>
            <w:r>
              <w:rPr>
                <w:rFonts w:ascii="Times New Roman"/>
                <w:b w:val="false"/>
                <w:i w:val="false"/>
                <w:color w:val="000000"/>
                <w:sz w:val="20"/>
              </w:rPr>
              <w:t>Глава 1. Дополнительное образование</w:t>
            </w:r>
          </w:p>
          <w:bookmarkEnd w:id="7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2"/>
          <w:p>
            <w:pPr>
              <w:spacing w:after="20"/>
              <w:ind w:left="20"/>
              <w:jc w:val="both"/>
            </w:pPr>
            <w:r>
              <w:rPr>
                <w:rFonts w:ascii="Times New Roman"/>
                <w:b w:val="false"/>
                <w:i w:val="false"/>
                <w:color w:val="000000"/>
                <w:sz w:val="20"/>
              </w:rPr>
              <w:t>
</w:t>
            </w:r>
            <w:r>
              <w:rPr>
                <w:rFonts w:ascii="Times New Roman"/>
                <w:b w:val="false"/>
                <w:i w:val="false"/>
                <w:color w:val="000000"/>
                <w:sz w:val="20"/>
              </w:rPr>
              <w:t>Глава 2. Неформальное образование</w:t>
            </w:r>
          </w:p>
          <w:bookmarkEnd w:id="7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
          <w:p>
            <w:pPr>
              <w:spacing w:after="20"/>
              <w:ind w:left="20"/>
              <w:jc w:val="both"/>
            </w:pPr>
            <w:r>
              <w:rPr>
                <w:rFonts w:ascii="Times New Roman"/>
                <w:b w:val="false"/>
                <w:i w:val="false"/>
                <w:color w:val="000000"/>
                <w:sz w:val="20"/>
              </w:rPr>
              <w:t>
</w:t>
            </w:r>
            <w:r>
              <w:rPr>
                <w:rFonts w:ascii="Times New Roman"/>
                <w:b w:val="false"/>
                <w:i w:val="false"/>
                <w:color w:val="000000"/>
                <w:sz w:val="20"/>
              </w:rPr>
              <w:t>Глава 3. Дополнительные компетенции</w:t>
            </w:r>
          </w:p>
          <w:bookmarkEnd w:id="7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8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9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9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9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9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результатов НПР: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1" w:id="94"/>
      <w:r>
        <w:rPr>
          <w:rFonts w:ascii="Times New Roman"/>
          <w:b w:val="false"/>
          <w:i w:val="false"/>
          <w:color w:val="000000"/>
          <w:sz w:val="28"/>
        </w:rPr>
        <w:t>
      Руководитель службы управления персоналом</w:t>
      </w:r>
    </w:p>
    <w:bookmarkEnd w:id="94"/>
    <w:p>
      <w:pPr>
        <w:spacing w:after="0"/>
        <w:ind w:left="0"/>
        <w:jc w:val="both"/>
      </w:pPr>
      <w:r>
        <w:rPr>
          <w:rFonts w:ascii="Times New Roman"/>
          <w:b w:val="false"/>
          <w:i w:val="false"/>
          <w:color w:val="000000"/>
          <w:sz w:val="28"/>
        </w:rPr>
        <w:t>(заполняется при наличии)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(подпись) дата выдачи</w:t>
      </w:r>
    </w:p>
    <w:p>
      <w:pPr>
        <w:spacing w:after="0"/>
        <w:ind w:left="0"/>
        <w:jc w:val="both"/>
      </w:pPr>
      <w:r>
        <w:rPr>
          <w:rFonts w:ascii="Times New Roman"/>
          <w:b w:val="false"/>
          <w:i w:val="false"/>
          <w:color w:val="000000"/>
          <w:sz w:val="28"/>
        </w:rPr>
        <w:t>Руководитель организации здравоохранения/</w:t>
      </w:r>
    </w:p>
    <w:p>
      <w:pPr>
        <w:spacing w:after="0"/>
        <w:ind w:left="0"/>
        <w:jc w:val="both"/>
      </w:pPr>
      <w:r>
        <w:rPr>
          <w:rFonts w:ascii="Times New Roman"/>
          <w:b w:val="false"/>
          <w:i w:val="false"/>
          <w:color w:val="000000"/>
          <w:sz w:val="28"/>
        </w:rPr>
        <w:t>физическое лицо, занимающееся частной</w:t>
      </w:r>
    </w:p>
    <w:p>
      <w:pPr>
        <w:spacing w:after="0"/>
        <w:ind w:left="0"/>
        <w:jc w:val="both"/>
      </w:pPr>
      <w:r>
        <w:rPr>
          <w:rFonts w:ascii="Times New Roman"/>
          <w:b w:val="false"/>
          <w:i w:val="false"/>
          <w:color w:val="000000"/>
          <w:sz w:val="28"/>
        </w:rPr>
        <w:t>медицинской практикой</w:t>
      </w:r>
    </w:p>
    <w:p>
      <w:pPr>
        <w:spacing w:after="0"/>
        <w:ind w:left="0"/>
        <w:jc w:val="both"/>
      </w:pPr>
      <w:r>
        <w:rPr>
          <w:rFonts w:ascii="Times New Roman"/>
          <w:b w:val="false"/>
          <w:i w:val="false"/>
          <w:color w:val="000000"/>
          <w:sz w:val="28"/>
        </w:rPr>
        <w:t>и фармацевтической деятельностью</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(подпись)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подтверждения результатов</w:t>
            </w:r>
            <w:r>
              <w:br/>
            </w:r>
            <w:r>
              <w:rPr>
                <w:rFonts w:ascii="Times New Roman"/>
                <w:b w:val="false"/>
                <w:i w:val="false"/>
                <w:color w:val="000000"/>
                <w:sz w:val="20"/>
              </w:rPr>
              <w:t>непрерывного профессионального</w:t>
            </w:r>
            <w:r>
              <w:br/>
            </w:r>
            <w:r>
              <w:rPr>
                <w:rFonts w:ascii="Times New Roman"/>
                <w:b w:val="false"/>
                <w:i w:val="false"/>
                <w:color w:val="000000"/>
                <w:sz w:val="20"/>
              </w:rPr>
              <w:t>развития, 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bl>
    <w:bookmarkStart w:name="z364" w:id="95"/>
    <w:p>
      <w:pPr>
        <w:spacing w:after="0"/>
        <w:ind w:left="0"/>
        <w:jc w:val="left"/>
      </w:pPr>
      <w:r>
        <w:rPr>
          <w:rFonts w:ascii="Times New Roman"/>
          <w:b/>
          <w:i w:val="false"/>
          <w:color w:val="000000"/>
        </w:rPr>
        <w:t xml:space="preserve"> Непрерывное профессиональное развитие работников системы здравоохранения</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мероприятия непрерывного профессионального развития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отраслевой рамки квалификаций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 (I);</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7.1 (I);</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7.2 (I);</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7.3 (I);</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квалификационной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квалификационная категория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мероприятий непрерывного профессионального развития (сумма зачетных единиц дополнительного образования, неформального образования и дополнительных компетенций)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w:t>
            </w:r>
          </w:p>
          <w:p>
            <w:pPr>
              <w:spacing w:after="20"/>
              <w:ind w:left="20"/>
              <w:jc w:val="both"/>
            </w:pPr>
            <w:r>
              <w:rPr>
                <w:rFonts w:ascii="Times New Roman"/>
                <w:b w:val="false"/>
                <w:i w:val="false"/>
                <w:color w:val="000000"/>
                <w:sz w:val="20"/>
              </w:rPr>
              <w:t>
зачетных единиц</w:t>
            </w:r>
          </w:p>
          <w:p>
            <w:pPr>
              <w:spacing w:after="20"/>
              <w:ind w:left="20"/>
              <w:jc w:val="both"/>
            </w:pPr>
            <w:r>
              <w:rPr>
                <w:rFonts w:ascii="Times New Roman"/>
                <w:b w:val="false"/>
                <w:i w:val="false"/>
                <w:color w:val="000000"/>
                <w:sz w:val="20"/>
              </w:rPr>
              <w:t>
за 5 лет</w:t>
            </w:r>
          </w:p>
          <w:p>
            <w:pPr>
              <w:spacing w:after="20"/>
              <w:ind w:left="20"/>
              <w:jc w:val="both"/>
            </w:pPr>
            <w:r>
              <w:rPr>
                <w:rFonts w:ascii="Times New Roman"/>
                <w:b w:val="false"/>
                <w:i w:val="false"/>
                <w:color w:val="000000"/>
                <w:sz w:val="20"/>
              </w:rPr>
              <w:t>
либо участие в Независимой экспертной комиссии при экспертизе страхового случая, не менее 3 раз за последние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w:t>
            </w:r>
          </w:p>
          <w:p>
            <w:pPr>
              <w:spacing w:after="20"/>
              <w:ind w:left="20"/>
              <w:jc w:val="both"/>
            </w:pPr>
            <w:r>
              <w:rPr>
                <w:rFonts w:ascii="Times New Roman"/>
                <w:b w:val="false"/>
                <w:i w:val="false"/>
                <w:color w:val="000000"/>
                <w:sz w:val="20"/>
              </w:rPr>
              <w:t>
зачетных единиц</w:t>
            </w:r>
          </w:p>
          <w:p>
            <w:pPr>
              <w:spacing w:after="20"/>
              <w:ind w:left="20"/>
              <w:jc w:val="both"/>
            </w:pPr>
            <w:r>
              <w:rPr>
                <w:rFonts w:ascii="Times New Roman"/>
                <w:b w:val="false"/>
                <w:i w:val="false"/>
                <w:color w:val="000000"/>
                <w:sz w:val="20"/>
              </w:rPr>
              <w:t>
за 5 лет либо</w:t>
            </w:r>
          </w:p>
          <w:p>
            <w:pPr>
              <w:spacing w:after="20"/>
              <w:ind w:left="20"/>
              <w:jc w:val="both"/>
            </w:pPr>
            <w:r>
              <w:rPr>
                <w:rFonts w:ascii="Times New Roman"/>
                <w:b w:val="false"/>
                <w:i w:val="false"/>
                <w:color w:val="000000"/>
                <w:sz w:val="20"/>
              </w:rPr>
              <w:t>
участие в Независимой экспертной комиссии при экспертизе страхового случая, не менее 3 раз за последние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 зачетных единиц</w:t>
            </w:r>
          </w:p>
          <w:p>
            <w:pPr>
              <w:spacing w:after="20"/>
              <w:ind w:left="20"/>
              <w:jc w:val="both"/>
            </w:pPr>
            <w:r>
              <w:rPr>
                <w:rFonts w:ascii="Times New Roman"/>
                <w:b w:val="false"/>
                <w:i w:val="false"/>
                <w:color w:val="000000"/>
                <w:sz w:val="20"/>
              </w:rPr>
              <w:t>
за 5 лет либо</w:t>
            </w:r>
          </w:p>
          <w:p>
            <w:pPr>
              <w:spacing w:after="20"/>
              <w:ind w:left="20"/>
              <w:jc w:val="both"/>
            </w:pPr>
            <w:r>
              <w:rPr>
                <w:rFonts w:ascii="Times New Roman"/>
                <w:b w:val="false"/>
                <w:i w:val="false"/>
                <w:color w:val="000000"/>
                <w:sz w:val="20"/>
              </w:rPr>
              <w:t>
участие в Независимой экспертной комиссии при экспертизе страхового случая, не менее 3 раз за последние 3 года.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зачетных единиц (часов) повышения квалификации базового или среднего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 зачетных единиц (часов) повышения квалификации среднего или высшего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зачетных единиц (часов) повышения квалификации высшего или специализированного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Неформальное образование и дополнительные компетенции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зачетных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зачетных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зачетных единиц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bl>
    <w:bookmarkStart w:name="z437" w:id="96"/>
    <w:p>
      <w:pPr>
        <w:spacing w:after="0"/>
        <w:ind w:left="0"/>
        <w:jc w:val="left"/>
      </w:pPr>
      <w:r>
        <w:rPr>
          <w:rFonts w:ascii="Times New Roman"/>
          <w:b/>
          <w:i w:val="false"/>
          <w:color w:val="000000"/>
        </w:rPr>
        <w:t xml:space="preserve"> Начальные уровни квалификации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квалификации ОРК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образования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(прикладной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(академический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(магистратура на основе освоенной программы бакалавриата) и(или) практический опыт работы;</w:t>
            </w:r>
          </w:p>
          <w:p>
            <w:pPr>
              <w:spacing w:after="20"/>
              <w:ind w:left="20"/>
              <w:jc w:val="both"/>
            </w:pPr>
            <w:r>
              <w:rPr>
                <w:rFonts w:ascii="Times New Roman"/>
                <w:b w:val="false"/>
                <w:i w:val="false"/>
                <w:color w:val="000000"/>
                <w:sz w:val="20"/>
              </w:rPr>
              <w:t>
или высшее базовое медицинское образование (интернатура) и (или) непрерывное интегрированное медицинское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(резидентура)</w:t>
            </w:r>
          </w:p>
          <w:p>
            <w:pPr>
              <w:spacing w:after="20"/>
              <w:ind w:left="20"/>
              <w:jc w:val="both"/>
            </w:pPr>
            <w:r>
              <w:rPr>
                <w:rFonts w:ascii="Times New Roman"/>
                <w:b w:val="false"/>
                <w:i w:val="false"/>
                <w:color w:val="000000"/>
                <w:sz w:val="20"/>
              </w:rPr>
              <w:t>
сертификационный курс (для специализации*)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PhD, ученая степень доктора PhD, (кандидаты медицинских наук, доктора медицинских наук) или высшее медицинское образование и опыт управленческой работы в отрасли.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bl>
    <w:bookmarkStart w:name="z460" w:id="97"/>
    <w:p>
      <w:pPr>
        <w:spacing w:after="0"/>
        <w:ind w:left="0"/>
        <w:jc w:val="left"/>
      </w:pPr>
      <w:r>
        <w:rPr>
          <w:rFonts w:ascii="Times New Roman"/>
          <w:b/>
          <w:i w:val="false"/>
          <w:color w:val="000000"/>
        </w:rPr>
        <w:t xml:space="preserve"> Очередные уровни квалификации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образования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квалификации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Квалификационная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непрерывного стажа работы по заявляемой специальности и (или) специализации с даты получения предыдущего уровня квалификации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(академический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медицинское образование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образование (клиническая ординатура, переподготовка,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кандидата медицинских наук, доктора медицинских наук,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