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0f14" w14:textId="4570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15 декабря 2020 года № ҚР ДСМ-264/2020. Зарегистрирован в Министерстве юстиции Республики Казахстан 20 декабря 2020 года № 21820.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86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согласно приложению 1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ДСМ-264/2020</w:t>
            </w:r>
          </w:p>
        </w:tc>
      </w:tr>
    </w:tbl>
    <w:bookmarkStart w:name="z15" w:id="9"/>
    <w:p>
      <w:pPr>
        <w:spacing w:after="0"/>
        <w:ind w:left="0"/>
        <w:jc w:val="left"/>
      </w:pPr>
      <w:r>
        <w:rPr>
          <w:rFonts w:ascii="Times New Roman"/>
          <w:b/>
          <w:i w:val="false"/>
          <w:color w:val="000000"/>
        </w:rPr>
        <w:t xml:space="preserve">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9"/>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05.07.2022 </w:t>
      </w:r>
      <w:r>
        <w:rPr>
          <w:rFonts w:ascii="Times New Roman"/>
          <w:b w:val="false"/>
          <w:i w:val="false"/>
          <w:color w:val="ff0000"/>
          <w:sz w:val="28"/>
        </w:rPr>
        <w:t>№ ҚР ДСМ- 65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0"/>
    <w:p>
      <w:pPr>
        <w:spacing w:after="0"/>
        <w:ind w:left="0"/>
        <w:jc w:val="both"/>
      </w:pPr>
      <w:r>
        <w:rPr>
          <w:rFonts w:ascii="Times New Roman"/>
          <w:b w:val="false"/>
          <w:i w:val="false"/>
          <w:color w:val="000000"/>
          <w:sz w:val="28"/>
        </w:rPr>
        <w:t>
      Глава 1. Общие положения</w:t>
      </w:r>
    </w:p>
    <w:bookmarkEnd w:id="10"/>
    <w:bookmarkStart w:name="z107" w:id="11"/>
    <w:p>
      <w:pPr>
        <w:spacing w:after="0"/>
        <w:ind w:left="0"/>
        <w:jc w:val="both"/>
      </w:pPr>
      <w:r>
        <w:rPr>
          <w:rFonts w:ascii="Times New Roman"/>
          <w:b w:val="false"/>
          <w:i w:val="false"/>
          <w:color w:val="000000"/>
          <w:sz w:val="28"/>
        </w:rPr>
        <w:t xml:space="preserve">
      1. Настоящие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86 Кодекса Республики Казахстан "О здоровье народа и системе здравоохранения" и определяют порядок,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11"/>
    <w:bookmarkStart w:name="z108" w:id="12"/>
    <w:p>
      <w:pPr>
        <w:spacing w:after="0"/>
        <w:ind w:left="0"/>
        <w:jc w:val="both"/>
      </w:pPr>
      <w:r>
        <w:rPr>
          <w:rFonts w:ascii="Times New Roman"/>
          <w:b w:val="false"/>
          <w:i w:val="false"/>
          <w:color w:val="000000"/>
          <w:sz w:val="28"/>
        </w:rPr>
        <w:t>
      2. Целевой группой населения являются дети в возрасте от 1 месяца до достижения возраста 18 лет.</w:t>
      </w:r>
    </w:p>
    <w:bookmarkEnd w:id="12"/>
    <w:bookmarkStart w:name="z109" w:id="13"/>
    <w:p>
      <w:pPr>
        <w:spacing w:after="0"/>
        <w:ind w:left="0"/>
        <w:jc w:val="both"/>
      </w:pPr>
      <w:r>
        <w:rPr>
          <w:rFonts w:ascii="Times New Roman"/>
          <w:b w:val="false"/>
          <w:i w:val="false"/>
          <w:color w:val="000000"/>
          <w:sz w:val="28"/>
        </w:rPr>
        <w:t>
      3. Профилактические медицинские осмотры с последующим динамическим наблюдением и оздоровлением осуществляют организации здравоохранения, оказывающие амбулаторно-поликлиническую помощь (далее – организации АПП) независимо от форм собственности, в том числе с использованием передвижных медицинских комплексов и медицинских поездов.</w:t>
      </w:r>
    </w:p>
    <w:bookmarkEnd w:id="13"/>
    <w:bookmarkStart w:name="z110" w:id="14"/>
    <w:p>
      <w:pPr>
        <w:spacing w:after="0"/>
        <w:ind w:left="0"/>
        <w:jc w:val="both"/>
      </w:pPr>
      <w:r>
        <w:rPr>
          <w:rFonts w:ascii="Times New Roman"/>
          <w:b w:val="false"/>
          <w:i w:val="false"/>
          <w:color w:val="000000"/>
          <w:sz w:val="28"/>
        </w:rPr>
        <w:t>
      4. Организации АПП:</w:t>
      </w:r>
    </w:p>
    <w:bookmarkEnd w:id="14"/>
    <w:bookmarkStart w:name="z111" w:id="15"/>
    <w:p>
      <w:pPr>
        <w:spacing w:after="0"/>
        <w:ind w:left="0"/>
        <w:jc w:val="both"/>
      </w:pPr>
      <w:r>
        <w:rPr>
          <w:rFonts w:ascii="Times New Roman"/>
          <w:b w:val="false"/>
          <w:i w:val="false"/>
          <w:color w:val="000000"/>
          <w:sz w:val="28"/>
        </w:rPr>
        <w:t>
      1) формируют целевые группы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из числа, прикрепленного к медицинской организации населения;</w:t>
      </w:r>
    </w:p>
    <w:bookmarkEnd w:id="15"/>
    <w:bookmarkStart w:name="z112" w:id="16"/>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осмотров;</w:t>
      </w:r>
    </w:p>
    <w:bookmarkEnd w:id="16"/>
    <w:bookmarkStart w:name="z113" w:id="17"/>
    <w:p>
      <w:pPr>
        <w:spacing w:after="0"/>
        <w:ind w:left="0"/>
        <w:jc w:val="both"/>
      </w:pPr>
      <w:r>
        <w:rPr>
          <w:rFonts w:ascii="Times New Roman"/>
          <w:b w:val="false"/>
          <w:i w:val="false"/>
          <w:color w:val="000000"/>
          <w:sz w:val="28"/>
        </w:rPr>
        <w:t>
      3) информируют население о необходимости прохождения профилактических медицинских осмотров;</w:t>
      </w:r>
    </w:p>
    <w:bookmarkEnd w:id="17"/>
    <w:bookmarkStart w:name="z114" w:id="18"/>
    <w:p>
      <w:pPr>
        <w:spacing w:after="0"/>
        <w:ind w:left="0"/>
        <w:jc w:val="both"/>
      </w:pPr>
      <w:r>
        <w:rPr>
          <w:rFonts w:ascii="Times New Roman"/>
          <w:b w:val="false"/>
          <w:i w:val="false"/>
          <w:color w:val="000000"/>
          <w:sz w:val="28"/>
        </w:rPr>
        <w:t>
      4) вносят данные о прохождении профилактических медицинских осмотров детей дошкольного, школьного возрастов, в медицинские информационные системы (далее – МИС);</w:t>
      </w:r>
    </w:p>
    <w:bookmarkEnd w:id="18"/>
    <w:bookmarkStart w:name="z115" w:id="19"/>
    <w:p>
      <w:pPr>
        <w:spacing w:after="0"/>
        <w:ind w:left="0"/>
        <w:jc w:val="both"/>
      </w:pPr>
      <w:r>
        <w:rPr>
          <w:rFonts w:ascii="Times New Roman"/>
          <w:b w:val="false"/>
          <w:i w:val="false"/>
          <w:color w:val="000000"/>
          <w:sz w:val="28"/>
        </w:rPr>
        <w:t>
      5) проводят ежемесячный анализ проведенных профилактических медицинских осмотров с предоставлением информации в местные органы государственного управления здравоохранением до 5 числа месяца, следующего за отчетным.</w:t>
      </w:r>
    </w:p>
    <w:bookmarkEnd w:id="19"/>
    <w:bookmarkStart w:name="z116" w:id="20"/>
    <w:p>
      <w:pPr>
        <w:spacing w:after="0"/>
        <w:ind w:left="0"/>
        <w:jc w:val="both"/>
      </w:pPr>
      <w:r>
        <w:rPr>
          <w:rFonts w:ascii="Times New Roman"/>
          <w:b w:val="false"/>
          <w:i w:val="false"/>
          <w:color w:val="000000"/>
          <w:sz w:val="28"/>
        </w:rPr>
        <w:t>
      5. По результатам проведенного профилактического медицинского осмотра детей дошкольного, школьного возрастов, направленных на дообследование средний медицинский работник либо ответственное лицо организации АПП в МИС формирует направление на дообследование, которое передается посредством информационного взаимодействия.</w:t>
      </w:r>
    </w:p>
    <w:bookmarkEnd w:id="20"/>
    <w:bookmarkStart w:name="z117" w:id="21"/>
    <w:p>
      <w:pPr>
        <w:spacing w:after="0"/>
        <w:ind w:left="0"/>
        <w:jc w:val="both"/>
      </w:pPr>
      <w:r>
        <w:rPr>
          <w:rFonts w:ascii="Times New Roman"/>
          <w:b w:val="false"/>
          <w:i w:val="false"/>
          <w:color w:val="000000"/>
          <w:sz w:val="28"/>
        </w:rPr>
        <w:t>
      Глава 2. Порядок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21"/>
    <w:bookmarkStart w:name="z118" w:id="22"/>
    <w:p>
      <w:pPr>
        <w:spacing w:after="0"/>
        <w:ind w:left="0"/>
        <w:jc w:val="both"/>
      </w:pPr>
      <w:r>
        <w:rPr>
          <w:rFonts w:ascii="Times New Roman"/>
          <w:b w:val="false"/>
          <w:i w:val="false"/>
          <w:color w:val="000000"/>
          <w:sz w:val="28"/>
        </w:rPr>
        <w:t>
      6. Профилактические медицинские осмотры детей дошкольного, школьного возрастов, а также учащихся организаций технического и профессионального, послесреднего и высшего образования проводятся специалистами территориальной организации АПП с выездом на территории организаций образования.</w:t>
      </w:r>
    </w:p>
    <w:bookmarkEnd w:id="22"/>
    <w:bookmarkStart w:name="z119" w:id="23"/>
    <w:p>
      <w:pPr>
        <w:spacing w:after="0"/>
        <w:ind w:left="0"/>
        <w:jc w:val="both"/>
      </w:pPr>
      <w:r>
        <w:rPr>
          <w:rFonts w:ascii="Times New Roman"/>
          <w:b w:val="false"/>
          <w:i w:val="false"/>
          <w:color w:val="000000"/>
          <w:sz w:val="28"/>
        </w:rPr>
        <w:t>
      7. Профилактические медицинские осмотры детей дошкольного возраста, не посещающих дошкольные организации, проводятся в организации АПП по месту прикрепления.</w:t>
      </w:r>
    </w:p>
    <w:bookmarkEnd w:id="23"/>
    <w:bookmarkStart w:name="z120" w:id="24"/>
    <w:p>
      <w:pPr>
        <w:spacing w:after="0"/>
        <w:ind w:left="0"/>
        <w:jc w:val="both"/>
      </w:pPr>
      <w:r>
        <w:rPr>
          <w:rFonts w:ascii="Times New Roman"/>
          <w:b w:val="false"/>
          <w:i w:val="false"/>
          <w:color w:val="000000"/>
          <w:sz w:val="28"/>
        </w:rPr>
        <w:t>
      8. Проведение профилактических медицинских осмотров детей дошкольного, школьного возрастов, а также учащихся организаций технического и профессионального, послесреднего и высшего образования включает: подготовительный этап, профилактический медицинский осмотр и заключительный этап.</w:t>
      </w:r>
    </w:p>
    <w:bookmarkEnd w:id="24"/>
    <w:bookmarkStart w:name="z121" w:id="25"/>
    <w:p>
      <w:pPr>
        <w:spacing w:after="0"/>
        <w:ind w:left="0"/>
        <w:jc w:val="both"/>
      </w:pPr>
      <w:r>
        <w:rPr>
          <w:rFonts w:ascii="Times New Roman"/>
          <w:b w:val="false"/>
          <w:i w:val="false"/>
          <w:color w:val="000000"/>
          <w:sz w:val="28"/>
        </w:rPr>
        <w:t>
      9. Подготовительный этап состоит из формирования целевых групп детей дошкольного, школьного возрастов, а также учащихся организаций технического и профессионального, послесреднего и высшего образования и информационного сопровождения. Подготовительный этап осуществляется средним медицинским персоналом организации АПП: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дошкольной организации и включает:</w:t>
      </w:r>
    </w:p>
    <w:bookmarkEnd w:id="25"/>
    <w:bookmarkStart w:name="z122" w:id="26"/>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не позднее сентября предыдущего отчетному году, с последующей ежемесячной коррекцией целевых групп;</w:t>
      </w:r>
    </w:p>
    <w:bookmarkEnd w:id="26"/>
    <w:bookmarkStart w:name="z123" w:id="27"/>
    <w:p>
      <w:pPr>
        <w:spacing w:after="0"/>
        <w:ind w:left="0"/>
        <w:jc w:val="both"/>
      </w:pPr>
      <w:r>
        <w:rPr>
          <w:rFonts w:ascii="Times New Roman"/>
          <w:b w:val="false"/>
          <w:i w:val="false"/>
          <w:color w:val="000000"/>
          <w:sz w:val="28"/>
        </w:rPr>
        <w:t>
      оповещение законных представителей детей о необходимости и условиях прохождения профилактических медицинских осмотров;</w:t>
      </w:r>
    </w:p>
    <w:bookmarkEnd w:id="27"/>
    <w:bookmarkStart w:name="z124" w:id="28"/>
    <w:p>
      <w:pPr>
        <w:spacing w:after="0"/>
        <w:ind w:left="0"/>
        <w:jc w:val="both"/>
      </w:pPr>
      <w:r>
        <w:rPr>
          <w:rFonts w:ascii="Times New Roman"/>
          <w:b w:val="false"/>
          <w:i w:val="false"/>
          <w:color w:val="000000"/>
          <w:sz w:val="28"/>
        </w:rPr>
        <w:t>
      составление графика выездов специалистов территориальной организации АПП на территории организаций образования (при его наличии), в том числе дошкольных организаций для проведения профилактического медицинского осмотра детей дошкольного возраста (посещающих детские дошкольные организации), школьного возраста, а также учащихся организаций технического и профессионального, послесреднего и высшего образования. </w:t>
      </w:r>
    </w:p>
    <w:bookmarkEnd w:id="28"/>
    <w:bookmarkStart w:name="z125" w:id="29"/>
    <w:p>
      <w:pPr>
        <w:spacing w:after="0"/>
        <w:ind w:left="0"/>
        <w:jc w:val="both"/>
      </w:pPr>
      <w:r>
        <w:rPr>
          <w:rFonts w:ascii="Times New Roman"/>
          <w:b w:val="false"/>
          <w:i w:val="false"/>
          <w:color w:val="000000"/>
          <w:sz w:val="28"/>
        </w:rPr>
        <w:t>
      10.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w:t>
      </w:r>
    </w:p>
    <w:bookmarkEnd w:id="29"/>
    <w:bookmarkStart w:name="z126" w:id="30"/>
    <w:p>
      <w:pPr>
        <w:spacing w:after="0"/>
        <w:ind w:left="0"/>
        <w:jc w:val="both"/>
      </w:pPr>
      <w:r>
        <w:rPr>
          <w:rFonts w:ascii="Times New Roman"/>
          <w:b w:val="false"/>
          <w:i w:val="false"/>
          <w:color w:val="000000"/>
          <w:sz w:val="28"/>
        </w:rPr>
        <w:t>
      11. Профилактический медицинский осмотр включает: доврачебный, квалифицированный и специализированный этапы.</w:t>
      </w:r>
    </w:p>
    <w:bookmarkEnd w:id="30"/>
    <w:bookmarkStart w:name="z127" w:id="31"/>
    <w:p>
      <w:pPr>
        <w:spacing w:after="0"/>
        <w:ind w:left="0"/>
        <w:jc w:val="both"/>
      </w:pPr>
      <w:r>
        <w:rPr>
          <w:rFonts w:ascii="Times New Roman"/>
          <w:b w:val="false"/>
          <w:i w:val="false"/>
          <w:color w:val="000000"/>
          <w:sz w:val="28"/>
        </w:rPr>
        <w:t>
      Доврачебный этап проводится средним медицинским персоналом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дошкольных организаций и включает:</w:t>
      </w:r>
    </w:p>
    <w:bookmarkEnd w:id="31"/>
    <w:bookmarkStart w:name="z128" w:id="32"/>
    <w:p>
      <w:pPr>
        <w:spacing w:after="0"/>
        <w:ind w:left="0"/>
        <w:jc w:val="both"/>
      </w:pPr>
      <w:r>
        <w:rPr>
          <w:rFonts w:ascii="Times New Roman"/>
          <w:b w:val="false"/>
          <w:i w:val="false"/>
          <w:color w:val="000000"/>
          <w:sz w:val="28"/>
        </w:rPr>
        <w:t>
      1) проведение антропометрических измерений (вес, рост, объем головы и грудной клетки у детей до трех лет), вычисление индекса Кетле;</w:t>
      </w:r>
    </w:p>
    <w:bookmarkEnd w:id="32"/>
    <w:bookmarkStart w:name="z129" w:id="33"/>
    <w:p>
      <w:pPr>
        <w:spacing w:after="0"/>
        <w:ind w:left="0"/>
        <w:jc w:val="both"/>
      </w:pPr>
      <w:r>
        <w:rPr>
          <w:rFonts w:ascii="Times New Roman"/>
          <w:b w:val="false"/>
          <w:i w:val="false"/>
          <w:color w:val="000000"/>
          <w:sz w:val="28"/>
        </w:rPr>
        <w:t>
      2) оценку психофизического развития по шкалам нервно-психического развития детей;</w:t>
      </w:r>
    </w:p>
    <w:bookmarkEnd w:id="33"/>
    <w:bookmarkStart w:name="z130" w:id="34"/>
    <w:p>
      <w:pPr>
        <w:spacing w:after="0"/>
        <w:ind w:left="0"/>
        <w:jc w:val="both"/>
      </w:pPr>
      <w:r>
        <w:rPr>
          <w:rFonts w:ascii="Times New Roman"/>
          <w:b w:val="false"/>
          <w:i w:val="false"/>
          <w:color w:val="000000"/>
          <w:sz w:val="28"/>
        </w:rPr>
        <w:t>
      3) измерение артериального давления (у детей 7 лет и старше);</w:t>
      </w:r>
    </w:p>
    <w:bookmarkEnd w:id="34"/>
    <w:bookmarkStart w:name="z131" w:id="35"/>
    <w:p>
      <w:pPr>
        <w:spacing w:after="0"/>
        <w:ind w:left="0"/>
        <w:jc w:val="both"/>
      </w:pPr>
      <w:r>
        <w:rPr>
          <w:rFonts w:ascii="Times New Roman"/>
          <w:b w:val="false"/>
          <w:i w:val="false"/>
          <w:color w:val="000000"/>
          <w:sz w:val="28"/>
        </w:rPr>
        <w:t>
      4) проведение плантографии и ее оценку (у детей 5 лет и старше);</w:t>
      </w:r>
    </w:p>
    <w:bookmarkEnd w:id="35"/>
    <w:bookmarkStart w:name="z132" w:id="36"/>
    <w:p>
      <w:pPr>
        <w:spacing w:after="0"/>
        <w:ind w:left="0"/>
        <w:jc w:val="both"/>
      </w:pPr>
      <w:r>
        <w:rPr>
          <w:rFonts w:ascii="Times New Roman"/>
          <w:b w:val="false"/>
          <w:i w:val="false"/>
          <w:color w:val="000000"/>
          <w:sz w:val="28"/>
        </w:rPr>
        <w:t>
      5) определение остроты зрения;</w:t>
      </w:r>
    </w:p>
    <w:bookmarkEnd w:id="36"/>
    <w:bookmarkStart w:name="z133" w:id="37"/>
    <w:p>
      <w:pPr>
        <w:spacing w:after="0"/>
        <w:ind w:left="0"/>
        <w:jc w:val="both"/>
      </w:pPr>
      <w:r>
        <w:rPr>
          <w:rFonts w:ascii="Times New Roman"/>
          <w:b w:val="false"/>
          <w:i w:val="false"/>
          <w:color w:val="000000"/>
          <w:sz w:val="28"/>
        </w:rPr>
        <w:t>
      6)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не менее 5 метров между средним медицинским работником и ребенком;</w:t>
      </w:r>
    </w:p>
    <w:bookmarkEnd w:id="37"/>
    <w:bookmarkStart w:name="z134" w:id="38"/>
    <w:p>
      <w:pPr>
        <w:spacing w:after="0"/>
        <w:ind w:left="0"/>
        <w:jc w:val="both"/>
      </w:pPr>
      <w:r>
        <w:rPr>
          <w:rFonts w:ascii="Times New Roman"/>
          <w:b w:val="false"/>
          <w:i w:val="false"/>
          <w:color w:val="000000"/>
          <w:sz w:val="28"/>
        </w:rPr>
        <w:t>
      7) электрокардиографическое исследование (в 12 отведениях) у детей в возрасте 14 и 17 лет включительно;</w:t>
      </w:r>
    </w:p>
    <w:bookmarkEnd w:id="38"/>
    <w:bookmarkStart w:name="z135" w:id="39"/>
    <w:p>
      <w:pPr>
        <w:spacing w:after="0"/>
        <w:ind w:left="0"/>
        <w:jc w:val="both"/>
      </w:pPr>
      <w:r>
        <w:rPr>
          <w:rFonts w:ascii="Times New Roman"/>
          <w:b w:val="false"/>
          <w:i w:val="false"/>
          <w:color w:val="000000"/>
          <w:sz w:val="28"/>
        </w:rPr>
        <w:t>
      8) общий анализ крови и мочи у детей в возрасте до 1 года, в 2 года, в 5 лет, 14 и 17 лет включительно.</w:t>
      </w:r>
    </w:p>
    <w:bookmarkEnd w:id="39"/>
    <w:bookmarkStart w:name="z136" w:id="40"/>
    <w:p>
      <w:pPr>
        <w:spacing w:after="0"/>
        <w:ind w:left="0"/>
        <w:jc w:val="both"/>
      </w:pPr>
      <w:r>
        <w:rPr>
          <w:rFonts w:ascii="Times New Roman"/>
          <w:b w:val="false"/>
          <w:i w:val="false"/>
          <w:color w:val="000000"/>
          <w:sz w:val="28"/>
        </w:rPr>
        <w:t>
      12. Квалифицированный этап проводится врачом педиатром, терапевтом (для детей в возрасте от 15 до 17 лет включительно) либо врачом общей практики и включает: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w:t>
      </w:r>
    </w:p>
    <w:bookmarkEnd w:id="40"/>
    <w:bookmarkStart w:name="z137" w:id="41"/>
    <w:p>
      <w:pPr>
        <w:spacing w:after="0"/>
        <w:ind w:left="0"/>
        <w:jc w:val="both"/>
      </w:pPr>
      <w:r>
        <w:rPr>
          <w:rFonts w:ascii="Times New Roman"/>
          <w:b w:val="false"/>
          <w:i w:val="false"/>
          <w:color w:val="000000"/>
          <w:sz w:val="28"/>
        </w:rPr>
        <w:t>
      В ходе квалифицированного этапа проводятся:</w:t>
      </w:r>
    </w:p>
    <w:bookmarkEnd w:id="41"/>
    <w:bookmarkStart w:name="z138" w:id="42"/>
    <w:p>
      <w:pPr>
        <w:spacing w:after="0"/>
        <w:ind w:left="0"/>
        <w:jc w:val="both"/>
      </w:pPr>
      <w:r>
        <w:rPr>
          <w:rFonts w:ascii="Times New Roman"/>
          <w:b w:val="false"/>
          <w:i w:val="false"/>
          <w:color w:val="000000"/>
          <w:sz w:val="28"/>
        </w:rPr>
        <w:t>
      1) общий осмотр;</w:t>
      </w:r>
    </w:p>
    <w:bookmarkEnd w:id="42"/>
    <w:bookmarkStart w:name="z139" w:id="43"/>
    <w:p>
      <w:pPr>
        <w:spacing w:after="0"/>
        <w:ind w:left="0"/>
        <w:jc w:val="both"/>
      </w:pPr>
      <w:r>
        <w:rPr>
          <w:rFonts w:ascii="Times New Roman"/>
          <w:b w:val="false"/>
          <w:i w:val="false"/>
          <w:color w:val="000000"/>
          <w:sz w:val="28"/>
        </w:rPr>
        <w:t>
      2) осмотр кожных покровов и волосистой части головы;</w:t>
      </w:r>
    </w:p>
    <w:bookmarkEnd w:id="43"/>
    <w:bookmarkStart w:name="z140" w:id="44"/>
    <w:p>
      <w:pPr>
        <w:spacing w:after="0"/>
        <w:ind w:left="0"/>
        <w:jc w:val="both"/>
      </w:pPr>
      <w:r>
        <w:rPr>
          <w:rFonts w:ascii="Times New Roman"/>
          <w:b w:val="false"/>
          <w:i w:val="false"/>
          <w:color w:val="000000"/>
          <w:sz w:val="28"/>
        </w:rPr>
        <w:t>
      3)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bookmarkEnd w:id="44"/>
    <w:bookmarkStart w:name="z141" w:id="45"/>
    <w:p>
      <w:pPr>
        <w:spacing w:after="0"/>
        <w:ind w:left="0"/>
        <w:jc w:val="both"/>
      </w:pPr>
      <w:r>
        <w:rPr>
          <w:rFonts w:ascii="Times New Roman"/>
          <w:b w:val="false"/>
          <w:i w:val="false"/>
          <w:color w:val="000000"/>
          <w:sz w:val="28"/>
        </w:rPr>
        <w:t>
      4) осмотр и пальпация области щитовидной железы;</w:t>
      </w:r>
    </w:p>
    <w:bookmarkEnd w:id="45"/>
    <w:bookmarkStart w:name="z142" w:id="46"/>
    <w:p>
      <w:pPr>
        <w:spacing w:after="0"/>
        <w:ind w:left="0"/>
        <w:jc w:val="both"/>
      </w:pPr>
      <w:r>
        <w:rPr>
          <w:rFonts w:ascii="Times New Roman"/>
          <w:b w:val="false"/>
          <w:i w:val="false"/>
          <w:color w:val="000000"/>
          <w:sz w:val="28"/>
        </w:rPr>
        <w:t>
      5) осмотр грудной клетки и позвоночного столба, конечностей;</w:t>
      </w:r>
    </w:p>
    <w:bookmarkEnd w:id="46"/>
    <w:bookmarkStart w:name="z143" w:id="47"/>
    <w:p>
      <w:pPr>
        <w:spacing w:after="0"/>
        <w:ind w:left="0"/>
        <w:jc w:val="both"/>
      </w:pPr>
      <w:r>
        <w:rPr>
          <w:rFonts w:ascii="Times New Roman"/>
          <w:b w:val="false"/>
          <w:i w:val="false"/>
          <w:color w:val="000000"/>
          <w:sz w:val="28"/>
        </w:rPr>
        <w:t>
      6) пальпация периферических лимфоузлов: подчелюстных, паховых, подмышечных;</w:t>
      </w:r>
    </w:p>
    <w:bookmarkEnd w:id="47"/>
    <w:bookmarkStart w:name="z144" w:id="48"/>
    <w:p>
      <w:pPr>
        <w:spacing w:after="0"/>
        <w:ind w:left="0"/>
        <w:jc w:val="both"/>
      </w:pPr>
      <w:r>
        <w:rPr>
          <w:rFonts w:ascii="Times New Roman"/>
          <w:b w:val="false"/>
          <w:i w:val="false"/>
          <w:color w:val="000000"/>
          <w:sz w:val="28"/>
        </w:rPr>
        <w:t>
      7)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При выявлении сердечных шумов проводят исследования в различных положениях (стоя, лежа) и функциональные пробы с дозированной физической нагрузкой;</w:t>
      </w:r>
    </w:p>
    <w:bookmarkEnd w:id="48"/>
    <w:bookmarkStart w:name="z145" w:id="49"/>
    <w:p>
      <w:pPr>
        <w:spacing w:after="0"/>
        <w:ind w:left="0"/>
        <w:jc w:val="both"/>
      </w:pPr>
      <w:r>
        <w:rPr>
          <w:rFonts w:ascii="Times New Roman"/>
          <w:b w:val="false"/>
          <w:i w:val="false"/>
          <w:color w:val="000000"/>
          <w:sz w:val="28"/>
        </w:rPr>
        <w:t>
      8) исследование органов дыхания (аускультация легких, определение частоты дыхания);</w:t>
      </w:r>
    </w:p>
    <w:bookmarkEnd w:id="49"/>
    <w:bookmarkStart w:name="z146" w:id="50"/>
    <w:p>
      <w:pPr>
        <w:spacing w:after="0"/>
        <w:ind w:left="0"/>
        <w:jc w:val="both"/>
      </w:pPr>
      <w:r>
        <w:rPr>
          <w:rFonts w:ascii="Times New Roman"/>
          <w:b w:val="false"/>
          <w:i w:val="false"/>
          <w:color w:val="000000"/>
          <w:sz w:val="28"/>
        </w:rPr>
        <w:t>
      9)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bookmarkEnd w:id="50"/>
    <w:bookmarkStart w:name="z147" w:id="51"/>
    <w:p>
      <w:pPr>
        <w:spacing w:after="0"/>
        <w:ind w:left="0"/>
        <w:jc w:val="both"/>
      </w:pPr>
      <w:r>
        <w:rPr>
          <w:rFonts w:ascii="Times New Roman"/>
          <w:b w:val="false"/>
          <w:i w:val="false"/>
          <w:color w:val="000000"/>
          <w:sz w:val="28"/>
        </w:rPr>
        <w:t>
      10) оценка результатов лабораторного исследования;</w:t>
      </w:r>
    </w:p>
    <w:bookmarkEnd w:id="51"/>
    <w:bookmarkStart w:name="z148" w:id="52"/>
    <w:p>
      <w:pPr>
        <w:spacing w:after="0"/>
        <w:ind w:left="0"/>
        <w:jc w:val="both"/>
      </w:pPr>
      <w:r>
        <w:rPr>
          <w:rFonts w:ascii="Times New Roman"/>
          <w:b w:val="false"/>
          <w:i w:val="false"/>
          <w:color w:val="000000"/>
          <w:sz w:val="28"/>
        </w:rPr>
        <w:t>
      11) осмотр половых органов. При осмотре девочек старше 10 лет особое внимание уделяют гинекологическому анамнезу, жалобам, нарушению менструальной функции. При осмотре детей, старше 12 лет уделяют внимание на тип оволосенения (по мужскому или по женскому типу). При наличии показаний девочки направляются к детскому гинекологу;</w:t>
      </w:r>
    </w:p>
    <w:bookmarkEnd w:id="52"/>
    <w:bookmarkStart w:name="z149" w:id="53"/>
    <w:p>
      <w:pPr>
        <w:spacing w:after="0"/>
        <w:ind w:left="0"/>
        <w:jc w:val="both"/>
      </w:pPr>
      <w:r>
        <w:rPr>
          <w:rFonts w:ascii="Times New Roman"/>
          <w:b w:val="false"/>
          <w:i w:val="false"/>
          <w:color w:val="000000"/>
          <w:sz w:val="28"/>
        </w:rPr>
        <w:t>
      12) оценка нервно-психического развития (далее – НПР) с рождения до 17 лет включительно с определением варианта группы развития: 1 – нормальный уровень НПР; 2 – незначительные отклонения в НПР; 3 – выраженные отклонения в НПР.</w:t>
      </w:r>
    </w:p>
    <w:bookmarkEnd w:id="53"/>
    <w:bookmarkStart w:name="z150" w:id="54"/>
    <w:p>
      <w:pPr>
        <w:spacing w:after="0"/>
        <w:ind w:left="0"/>
        <w:jc w:val="both"/>
      </w:pPr>
      <w:r>
        <w:rPr>
          <w:rFonts w:ascii="Times New Roman"/>
          <w:b w:val="false"/>
          <w:i w:val="false"/>
          <w:color w:val="000000"/>
          <w:sz w:val="28"/>
        </w:rPr>
        <w:t>
      У детей в возрасте от 4 до 6 лет оцениваются мышление и речь, моторное развитие, внимание и память, социальные контакты.</w:t>
      </w:r>
    </w:p>
    <w:bookmarkEnd w:id="54"/>
    <w:bookmarkStart w:name="z151" w:id="55"/>
    <w:p>
      <w:pPr>
        <w:spacing w:after="0"/>
        <w:ind w:left="0"/>
        <w:jc w:val="both"/>
      </w:pPr>
      <w:r>
        <w:rPr>
          <w:rFonts w:ascii="Times New Roman"/>
          <w:b w:val="false"/>
          <w:i w:val="false"/>
          <w:color w:val="000000"/>
          <w:sz w:val="28"/>
        </w:rPr>
        <w:t>
      У детей в возрасте от 7 до 8 лет оцениваются психомоторная сфера и поведение, интеллектуальное развитие, эмоционально-вегетативная сфера.</w:t>
      </w:r>
    </w:p>
    <w:bookmarkEnd w:id="55"/>
    <w:bookmarkStart w:name="z152" w:id="56"/>
    <w:p>
      <w:pPr>
        <w:spacing w:after="0"/>
        <w:ind w:left="0"/>
        <w:jc w:val="both"/>
      </w:pPr>
      <w:r>
        <w:rPr>
          <w:rFonts w:ascii="Times New Roman"/>
          <w:b w:val="false"/>
          <w:i w:val="false"/>
          <w:color w:val="000000"/>
          <w:sz w:val="28"/>
        </w:rPr>
        <w:t>
      У детей в возрасте от 9 до 10 лет дополнительно оценивается сформированность абстрактно-логических операций, логических суждений.</w:t>
      </w:r>
    </w:p>
    <w:bookmarkEnd w:id="56"/>
    <w:bookmarkStart w:name="z153" w:id="57"/>
    <w:p>
      <w:pPr>
        <w:spacing w:after="0"/>
        <w:ind w:left="0"/>
        <w:jc w:val="both"/>
      </w:pPr>
      <w:r>
        <w:rPr>
          <w:rFonts w:ascii="Times New Roman"/>
          <w:b w:val="false"/>
          <w:i w:val="false"/>
          <w:color w:val="000000"/>
          <w:sz w:val="28"/>
        </w:rPr>
        <w:t>
      У детей в возрасте от 11 до 17 лет определяются эмоционально-вегетативная сфера, сомато-вегетативные проявления, вегето-диэнцефальные проявления.</w:t>
      </w:r>
    </w:p>
    <w:bookmarkEnd w:id="57"/>
    <w:bookmarkStart w:name="z154" w:id="58"/>
    <w:p>
      <w:pPr>
        <w:spacing w:after="0"/>
        <w:ind w:left="0"/>
        <w:jc w:val="both"/>
      </w:pPr>
      <w:r>
        <w:rPr>
          <w:rFonts w:ascii="Times New Roman"/>
          <w:b w:val="false"/>
          <w:i w:val="false"/>
          <w:color w:val="000000"/>
          <w:sz w:val="28"/>
        </w:rPr>
        <w:t>
      13) оценка полового развития методом пубертограмм, выдается заключение (норма, опережение, отставание);</w:t>
      </w:r>
    </w:p>
    <w:bookmarkEnd w:id="58"/>
    <w:bookmarkStart w:name="z155" w:id="59"/>
    <w:p>
      <w:pPr>
        <w:spacing w:after="0"/>
        <w:ind w:left="0"/>
        <w:jc w:val="both"/>
      </w:pPr>
      <w:r>
        <w:rPr>
          <w:rFonts w:ascii="Times New Roman"/>
          <w:b w:val="false"/>
          <w:i w:val="false"/>
          <w:color w:val="000000"/>
          <w:sz w:val="28"/>
        </w:rPr>
        <w:t>
      14) выявление признаков жестокого обращения путем выявления травм и их последствий, признаков побоев (линейные кровоподтеки после ударов палкой или прутом, кровоподтеки в виде петли после ударов ремнем, веревкой, следы связывания, стягивания веревкой или ремнем, следы прижиганий сигаретой, кровоизлияния в сетчатку глаз, субдуральные гематомы).</w:t>
      </w:r>
    </w:p>
    <w:bookmarkEnd w:id="59"/>
    <w:bookmarkStart w:name="z156" w:id="60"/>
    <w:p>
      <w:pPr>
        <w:spacing w:after="0"/>
        <w:ind w:left="0"/>
        <w:jc w:val="both"/>
      </w:pPr>
      <w:r>
        <w:rPr>
          <w:rFonts w:ascii="Times New Roman"/>
          <w:b w:val="false"/>
          <w:i w:val="false"/>
          <w:color w:val="000000"/>
          <w:sz w:val="28"/>
        </w:rPr>
        <w:t>
      13. При выявлении патологических изменений направляет на дополнительное обследование к профильному специалисту.</w:t>
      </w:r>
    </w:p>
    <w:bookmarkEnd w:id="60"/>
    <w:bookmarkStart w:name="z157" w:id="61"/>
    <w:p>
      <w:pPr>
        <w:spacing w:after="0"/>
        <w:ind w:left="0"/>
        <w:jc w:val="both"/>
      </w:pPr>
      <w:r>
        <w:rPr>
          <w:rFonts w:ascii="Times New Roman"/>
          <w:b w:val="false"/>
          <w:i w:val="false"/>
          <w:color w:val="000000"/>
          <w:sz w:val="28"/>
        </w:rPr>
        <w:t>
      14. Специализированный этап проводится врачами профильных специальностей и включает осмотр с заполнением результатов в МИС:</w:t>
      </w:r>
    </w:p>
    <w:bookmarkEnd w:id="61"/>
    <w:bookmarkStart w:name="z158" w:id="62"/>
    <w:p>
      <w:pPr>
        <w:spacing w:after="0"/>
        <w:ind w:left="0"/>
        <w:jc w:val="both"/>
      </w:pPr>
      <w:r>
        <w:rPr>
          <w:rFonts w:ascii="Times New Roman"/>
          <w:b w:val="false"/>
          <w:i w:val="false"/>
          <w:color w:val="000000"/>
          <w:sz w:val="28"/>
        </w:rPr>
        <w:t>
      1) хирург либо травматолог-ортопед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bookmarkEnd w:id="62"/>
    <w:bookmarkStart w:name="z159" w:id="63"/>
    <w:p>
      <w:pPr>
        <w:spacing w:after="0"/>
        <w:ind w:left="0"/>
        <w:jc w:val="both"/>
      </w:pPr>
      <w:r>
        <w:rPr>
          <w:rFonts w:ascii="Times New Roman"/>
          <w:b w:val="false"/>
          <w:i w:val="false"/>
          <w:color w:val="000000"/>
          <w:sz w:val="28"/>
        </w:rPr>
        <w:t>
      2) уролог либо хирург исключает патологию мочеполовой системы;</w:t>
      </w:r>
    </w:p>
    <w:bookmarkEnd w:id="63"/>
    <w:bookmarkStart w:name="z160" w:id="64"/>
    <w:p>
      <w:pPr>
        <w:spacing w:after="0"/>
        <w:ind w:left="0"/>
        <w:jc w:val="both"/>
      </w:pPr>
      <w:r>
        <w:rPr>
          <w:rFonts w:ascii="Times New Roman"/>
          <w:b w:val="false"/>
          <w:i w:val="false"/>
          <w:color w:val="000000"/>
          <w:sz w:val="28"/>
        </w:rPr>
        <w:t>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bookmarkEnd w:id="64"/>
    <w:bookmarkStart w:name="z161" w:id="65"/>
    <w:p>
      <w:pPr>
        <w:spacing w:after="0"/>
        <w:ind w:left="0"/>
        <w:jc w:val="both"/>
      </w:pPr>
      <w:r>
        <w:rPr>
          <w:rFonts w:ascii="Times New Roman"/>
          <w:b w:val="false"/>
          <w:i w:val="false"/>
          <w:color w:val="000000"/>
          <w:sz w:val="28"/>
        </w:rPr>
        <w:t>
      4) невропатолог проводит общий осмотр (определение наличия дермографических черт, сосудистого рисунка), исследование состояния черепно-мозговых нервов, двигательных функций; сухожильных, периостальных, кожных рефлексов; оценку вегетативной регуляции. При наличии медицинских показаний,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w:t>
      </w:r>
    </w:p>
    <w:bookmarkEnd w:id="65"/>
    <w:bookmarkStart w:name="z162" w:id="66"/>
    <w:p>
      <w:pPr>
        <w:spacing w:after="0"/>
        <w:ind w:left="0"/>
        <w:jc w:val="both"/>
      </w:pPr>
      <w:r>
        <w:rPr>
          <w:rFonts w:ascii="Times New Roman"/>
          <w:b w:val="false"/>
          <w:i w:val="false"/>
          <w:color w:val="000000"/>
          <w:sz w:val="28"/>
        </w:rPr>
        <w:t>
      5) стоматолог проводит комплексное обследование ребенка с оценкой состояния прикуса, пародонта, индексов гигиены, интенсивности поражения зубов кариесом (КПУ - сумма кариозных пломбированных и удаленных зубов у одного ребенка), степени активности кариеса, гингивита, (папиллярно-маргинально-альвеолярный индекс для оценки воспалительного процесса десен), составляет план диспансеризации, реабилитации и профилактики;</w:t>
      </w:r>
    </w:p>
    <w:bookmarkEnd w:id="66"/>
    <w:bookmarkStart w:name="z163" w:id="67"/>
    <w:p>
      <w:pPr>
        <w:spacing w:after="0"/>
        <w:ind w:left="0"/>
        <w:jc w:val="both"/>
      </w:pPr>
      <w:r>
        <w:rPr>
          <w:rFonts w:ascii="Times New Roman"/>
          <w:b w:val="false"/>
          <w:i w:val="false"/>
          <w:color w:val="000000"/>
          <w:sz w:val="28"/>
        </w:rPr>
        <w:t>
      6) офтальмолог проводит определение остроты зрения, внешний осмотр органа зрения; осмотр с боковым освещением и в проходящем свете, офтальмоскопию. При наличии медицинских показаний, дети в возрасте 14 и 17 лет проходят дополнительно измерение глазного давления;</w:t>
      </w:r>
    </w:p>
    <w:bookmarkEnd w:id="67"/>
    <w:bookmarkStart w:name="z164" w:id="68"/>
    <w:p>
      <w:pPr>
        <w:spacing w:after="0"/>
        <w:ind w:left="0"/>
        <w:jc w:val="both"/>
      </w:pPr>
      <w:r>
        <w:rPr>
          <w:rFonts w:ascii="Times New Roman"/>
          <w:b w:val="false"/>
          <w:i w:val="false"/>
          <w:color w:val="000000"/>
          <w:sz w:val="28"/>
        </w:rPr>
        <w:t>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bookmarkEnd w:id="68"/>
    <w:bookmarkStart w:name="z165" w:id="69"/>
    <w:p>
      <w:pPr>
        <w:spacing w:after="0"/>
        <w:ind w:left="0"/>
        <w:jc w:val="both"/>
      </w:pPr>
      <w:r>
        <w:rPr>
          <w:rFonts w:ascii="Times New Roman"/>
          <w:b w:val="false"/>
          <w:i w:val="false"/>
          <w:color w:val="000000"/>
          <w:sz w:val="28"/>
        </w:rPr>
        <w:t>
      15. По окончании профилактического медицинского осмотра врачом педиатром, врачом терапевтом (для детей в возрасте от 15 до 17 лет включительно) либо врачом общей практики, с учетом заключения профильных специалистов и лабораторно-диагностических исследований, проводится комплексная оценка состояния здоровья детей с определением следующих "групп здоровья":</w:t>
      </w:r>
    </w:p>
    <w:bookmarkEnd w:id="69"/>
    <w:bookmarkStart w:name="z166" w:id="70"/>
    <w:p>
      <w:pPr>
        <w:spacing w:after="0"/>
        <w:ind w:left="0"/>
        <w:jc w:val="both"/>
      </w:pPr>
      <w:r>
        <w:rPr>
          <w:rFonts w:ascii="Times New Roman"/>
          <w:b w:val="false"/>
          <w:i w:val="false"/>
          <w:color w:val="000000"/>
          <w:sz w:val="28"/>
        </w:rPr>
        <w:t>
      1 группа – здоровые дети;</w:t>
      </w:r>
    </w:p>
    <w:bookmarkEnd w:id="70"/>
    <w:bookmarkStart w:name="z167" w:id="71"/>
    <w:p>
      <w:pPr>
        <w:spacing w:after="0"/>
        <w:ind w:left="0"/>
        <w:jc w:val="both"/>
      </w:pPr>
      <w:r>
        <w:rPr>
          <w:rFonts w:ascii="Times New Roman"/>
          <w:b w:val="false"/>
          <w:i w:val="false"/>
          <w:color w:val="000000"/>
          <w:sz w:val="28"/>
        </w:rPr>
        <w:t>
      2 группа – здоровые дети, имеющие функциональные отклонения, а также сниженную сопротивляемость к острым и хроническим заболеваниям, с наличием факторов риска;</w:t>
      </w:r>
    </w:p>
    <w:bookmarkEnd w:id="71"/>
    <w:bookmarkStart w:name="z168" w:id="72"/>
    <w:p>
      <w:pPr>
        <w:spacing w:after="0"/>
        <w:ind w:left="0"/>
        <w:jc w:val="both"/>
      </w:pPr>
      <w:r>
        <w:rPr>
          <w:rFonts w:ascii="Times New Roman"/>
          <w:b w:val="false"/>
          <w:i w:val="false"/>
          <w:color w:val="000000"/>
          <w:sz w:val="28"/>
        </w:rPr>
        <w:t>
      3 группа – дети, больные хроническими заболеваниями в состоянии компенсации, с сохраненными функциональными возможностями организма;</w:t>
      </w:r>
    </w:p>
    <w:bookmarkEnd w:id="72"/>
    <w:bookmarkStart w:name="z169" w:id="73"/>
    <w:p>
      <w:pPr>
        <w:spacing w:after="0"/>
        <w:ind w:left="0"/>
        <w:jc w:val="both"/>
      </w:pPr>
      <w:r>
        <w:rPr>
          <w:rFonts w:ascii="Times New Roman"/>
          <w:b w:val="false"/>
          <w:i w:val="false"/>
          <w:color w:val="000000"/>
          <w:sz w:val="28"/>
        </w:rPr>
        <w:t>
      4 группа – дети с хроническими заболеваниями в состоянии субкомпенсации, со сниженными функциональными возможностями;</w:t>
      </w:r>
    </w:p>
    <w:bookmarkEnd w:id="73"/>
    <w:bookmarkStart w:name="z170" w:id="74"/>
    <w:p>
      <w:pPr>
        <w:spacing w:after="0"/>
        <w:ind w:left="0"/>
        <w:jc w:val="both"/>
      </w:pPr>
      <w:r>
        <w:rPr>
          <w:rFonts w:ascii="Times New Roman"/>
          <w:b w:val="false"/>
          <w:i w:val="false"/>
          <w:color w:val="000000"/>
          <w:sz w:val="28"/>
        </w:rPr>
        <w:t>
      5 группа – дети с хроническими заболеваниями в состоянии декомпенсации, со значительно сниженными функциональными возможностями организма.</w:t>
      </w:r>
    </w:p>
    <w:bookmarkEnd w:id="74"/>
    <w:bookmarkStart w:name="z171" w:id="75"/>
    <w:p>
      <w:pPr>
        <w:spacing w:after="0"/>
        <w:ind w:left="0"/>
        <w:jc w:val="both"/>
      </w:pPr>
      <w:r>
        <w:rPr>
          <w:rFonts w:ascii="Times New Roman"/>
          <w:b w:val="false"/>
          <w:i w:val="false"/>
          <w:color w:val="000000"/>
          <w:sz w:val="28"/>
        </w:rPr>
        <w:t>
      16. Дети, относящиеся к 3, 4, 5группам здоровья, подлежат динамическому наблюдению и оздоровлению у специалистов организаций АПП или специалистов соответствующего профиля.</w:t>
      </w:r>
    </w:p>
    <w:bookmarkEnd w:id="75"/>
    <w:bookmarkStart w:name="z172" w:id="76"/>
    <w:p>
      <w:pPr>
        <w:spacing w:after="0"/>
        <w:ind w:left="0"/>
        <w:jc w:val="both"/>
      </w:pPr>
      <w:r>
        <w:rPr>
          <w:rFonts w:ascii="Times New Roman"/>
          <w:b w:val="false"/>
          <w:i w:val="false"/>
          <w:color w:val="000000"/>
          <w:sz w:val="28"/>
        </w:rPr>
        <w:t>
      17. По завершении профилактического медицинского осмотра врачом педиатром, терапевтом либо врачом общей практики проводится комплексная оценка здоровья, оформляются эпикриз и заключение с указанием группы здоровья, оценкой физического и нервно-психического развития. В заключении предоставляются рекомендации по дообследованию, наблюдению, соблюдению санитарно-гигиенических правил, режиму, физическому воспитанию и закаливанию, проведению профилактических прививок, профилактике пограничных состояний и заболеваний, по физкультурной группе (основная или специальная группа), и для мальчиков с 15 лет – заключение и рекомендации для военкомата.</w:t>
      </w:r>
    </w:p>
    <w:bookmarkEnd w:id="76"/>
    <w:bookmarkStart w:name="z173" w:id="77"/>
    <w:p>
      <w:pPr>
        <w:spacing w:after="0"/>
        <w:ind w:left="0"/>
        <w:jc w:val="both"/>
      </w:pPr>
      <w:r>
        <w:rPr>
          <w:rFonts w:ascii="Times New Roman"/>
          <w:b w:val="false"/>
          <w:i w:val="false"/>
          <w:color w:val="000000"/>
          <w:sz w:val="28"/>
        </w:rPr>
        <w:t>
      18. На заключительном этапе врач организации АПП либо ответственное лицо организации АПП вносит результаты осмотра в МИС.</w:t>
      </w:r>
    </w:p>
    <w:bookmarkEnd w:id="77"/>
    <w:bookmarkStart w:name="z174" w:id="78"/>
    <w:p>
      <w:pPr>
        <w:spacing w:after="0"/>
        <w:ind w:left="0"/>
        <w:jc w:val="both"/>
      </w:pPr>
      <w:r>
        <w:rPr>
          <w:rFonts w:ascii="Times New Roman"/>
          <w:b w:val="false"/>
          <w:i w:val="false"/>
          <w:color w:val="000000"/>
          <w:sz w:val="28"/>
        </w:rPr>
        <w:t>
      19. Результаты профилактического медицинского осмотра детей доводятся до сведения их законных представителей, с подписью об ознакомлении.</w:t>
      </w:r>
    </w:p>
    <w:bookmarkEnd w:id="78"/>
    <w:bookmarkStart w:name="z175" w:id="79"/>
    <w:p>
      <w:pPr>
        <w:spacing w:after="0"/>
        <w:ind w:left="0"/>
        <w:jc w:val="both"/>
      </w:pPr>
      <w:r>
        <w:rPr>
          <w:rFonts w:ascii="Times New Roman"/>
          <w:b w:val="false"/>
          <w:i w:val="false"/>
          <w:color w:val="000000"/>
          <w:sz w:val="28"/>
        </w:rPr>
        <w:t>
      Глава 3.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79"/>
    <w:bookmarkStart w:name="z176" w:id="80"/>
    <w:p>
      <w:pPr>
        <w:spacing w:after="0"/>
        <w:ind w:left="0"/>
        <w:jc w:val="both"/>
      </w:pPr>
      <w:r>
        <w:rPr>
          <w:rFonts w:ascii="Times New Roman"/>
          <w:b w:val="false"/>
          <w:i w:val="false"/>
          <w:color w:val="000000"/>
          <w:sz w:val="28"/>
        </w:rPr>
        <w:t xml:space="preserve">
      20. Профилактические медицинские осмотры детей дошкольного, школьного возрастов, осуществляются в соответствии с объемом и периодичностью проведения профилактических медицинских осмотров детей дошкольного, школьного возрастов, а также учащихся организаций технического и профессионального, послесреднего и высшего образования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объему и периодичности</w:t>
            </w:r>
            <w:r>
              <w:br/>
            </w:r>
            <w:r>
              <w:rPr>
                <w:rFonts w:ascii="Times New Roman"/>
                <w:b w:val="false"/>
                <w:i w:val="false"/>
                <w:color w:val="000000"/>
                <w:sz w:val="20"/>
              </w:rPr>
              <w:t>проведения профилактических</w:t>
            </w:r>
            <w:r>
              <w:br/>
            </w:r>
            <w:r>
              <w:rPr>
                <w:rFonts w:ascii="Times New Roman"/>
                <w:b w:val="false"/>
                <w:i w:val="false"/>
                <w:color w:val="000000"/>
                <w:sz w:val="20"/>
              </w:rPr>
              <w:t>медицинских осмотров целевых</w:t>
            </w:r>
            <w:r>
              <w:br/>
            </w:r>
            <w:r>
              <w:rPr>
                <w:rFonts w:ascii="Times New Roman"/>
                <w:b w:val="false"/>
                <w:i w:val="false"/>
                <w:color w:val="000000"/>
                <w:sz w:val="20"/>
              </w:rPr>
              <w:t>групп населения, включая детей</w:t>
            </w:r>
            <w:r>
              <w:br/>
            </w:r>
            <w:r>
              <w:rPr>
                <w:rFonts w:ascii="Times New Roman"/>
                <w:b w:val="false"/>
                <w:i w:val="false"/>
                <w:color w:val="000000"/>
                <w:sz w:val="20"/>
              </w:rPr>
              <w:t>дошкольного, школьного</w:t>
            </w:r>
            <w:r>
              <w:br/>
            </w:r>
            <w:r>
              <w:rPr>
                <w:rFonts w:ascii="Times New Roman"/>
                <w:b w:val="false"/>
                <w:i w:val="false"/>
                <w:color w:val="000000"/>
                <w:sz w:val="20"/>
              </w:rPr>
              <w:t>возрастов, а также учащихся</w:t>
            </w:r>
            <w:r>
              <w:br/>
            </w:r>
            <w:r>
              <w:rPr>
                <w:rFonts w:ascii="Times New Roman"/>
                <w:b w:val="false"/>
                <w:i w:val="false"/>
                <w:color w:val="000000"/>
                <w:sz w:val="20"/>
              </w:rPr>
              <w:t>организаций технического и</w:t>
            </w:r>
            <w:r>
              <w:br/>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и высшего образования</w:t>
            </w:r>
          </w:p>
        </w:tc>
      </w:tr>
    </w:tbl>
    <w:bookmarkStart w:name="z178" w:id="81"/>
    <w:p>
      <w:pPr>
        <w:spacing w:after="0"/>
        <w:ind w:left="0"/>
        <w:jc w:val="left"/>
      </w:pPr>
      <w:r>
        <w:rPr>
          <w:rFonts w:ascii="Times New Roman"/>
          <w:b/>
          <w:i w:val="false"/>
          <w:color w:val="000000"/>
        </w:rPr>
        <w:t xml:space="preserve"> Объем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81"/>
    <w:p>
      <w:pPr>
        <w:spacing w:after="0"/>
        <w:ind w:left="0"/>
        <w:jc w:val="both"/>
      </w:pPr>
      <w:r>
        <w:rPr>
          <w:rFonts w:ascii="Times New Roman"/>
          <w:b w:val="false"/>
          <w:i w:val="false"/>
          <w:color w:val="ff0000"/>
          <w:sz w:val="28"/>
        </w:rPr>
        <w:t xml:space="preserve">
      Сноска. Приложение - в редакции приказа и.о. Министра здравоохранения РК от 30.11.2022 </w:t>
      </w:r>
      <w:r>
        <w:rPr>
          <w:rFonts w:ascii="Times New Roman"/>
          <w:b w:val="false"/>
          <w:i w:val="false"/>
          <w:color w:val="ff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профилактических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Целевая группа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пакета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3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4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7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8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9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10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11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12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ДСМ-264/2020</w:t>
            </w:r>
          </w:p>
        </w:tc>
      </w:tr>
    </w:tbl>
    <w:bookmarkStart w:name="z98" w:id="82"/>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признанных утратившими силу</w:t>
      </w:r>
    </w:p>
    <w:bookmarkEnd w:id="82"/>
    <w:bookmarkStart w:name="z99" w:id="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26 ноября 2009 года за № 5918, опубликованный в Собрании актов центральных исполнительных и иных центральных государственных органов Республики Казахстан № 3, 2010 года).</w:t>
      </w:r>
    </w:p>
    <w:bookmarkEnd w:id="83"/>
    <w:bookmarkStart w:name="z100"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марта 2011 года № 145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6902, опубликованный 6 августа 2011 года в газете "Казахстанская правда" за № 247-249 (26668-266670)).</w:t>
      </w:r>
    </w:p>
    <w:bookmarkEnd w:id="84"/>
    <w:bookmarkStart w:name="z101"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26 декабря 2012 года № 887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8283, опубликованный 29 мая 2013 года в газете "Казахстанская правда" за № 181-182 (27455-27456)).</w:t>
      </w:r>
    </w:p>
    <w:bookmarkEnd w:id="85"/>
    <w:bookmarkStart w:name="z102"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29 декабря 2014 года № 361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10199, опубликованный 26 октября 2015 года в Информационно-правовой системе "Әділет"). </w:t>
      </w:r>
    </w:p>
    <w:bookmarkEnd w:id="86"/>
    <w:bookmarkStart w:name="z103" w:id="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декабря 2017 года № 995 "О внесении изменений и дополнения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16223, опубликованный 22 января 2018 года в Эталонном контрольном банке нормативных правовых актов Республики Казахстан в электронном виде).</w:t>
      </w:r>
    </w:p>
    <w:bookmarkEnd w:id="87"/>
    <w:bookmarkStart w:name="z104" w:id="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октября 2019 года № ҚР ДСМ-133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19441, опубликованный 7 октября 2019 года в Эталонном контрольном банке нормативных правовых актов Республики Казахстан в электронном виде).</w:t>
      </w:r>
    </w:p>
    <w:bookmarkEnd w:id="88"/>
    <w:bookmarkStart w:name="z105" w:id="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апреля 2020 года № ҚР ДСМ-22/2020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20294, опубликованный 9 апреля 2020 года в Эталонном контрольном банке нормативных правовых актов Республики Казахстан в электронном виде).</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