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d744" w14:textId="b62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специализированной, в том числе высокотехнологичной медицинской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8 декабря 2020 года № ҚР ДСМ-238/2020. Зарегистрирован в Министерстве юстиции Республики Казахстан 10 декабря 2020 года № 21746.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оказания специализированной, в том числе высокотехнологичной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ДСМ-238/2020</w:t>
            </w:r>
          </w:p>
        </w:tc>
      </w:tr>
    </w:tbl>
    <w:bookmarkStart w:name="z15" w:id="9"/>
    <w:p>
      <w:pPr>
        <w:spacing w:after="0"/>
        <w:ind w:left="0"/>
        <w:jc w:val="left"/>
      </w:pPr>
      <w:r>
        <w:rPr>
          <w:rFonts w:ascii="Times New Roman"/>
          <w:b/>
          <w:i w:val="false"/>
          <w:color w:val="000000"/>
        </w:rPr>
        <w:t xml:space="preserve"> Правила оказания специализированной, в том числе высокотехнологичной медицинской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специализированной, в том числе высокотехнологичной медицинской помощи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(далее – Кодекс) и определяют порядок оказания специализированной, в том числе высокотехнологичной медицинской помощи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высокотехнологичная медицинская помощь (далее – ВТМП) – медицинская помощь, являющаяся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3"/>
    <w:bookmarkStart w:name="z20" w:id="14"/>
    <w:p>
      <w:pPr>
        <w:spacing w:after="0"/>
        <w:ind w:left="0"/>
        <w:jc w:val="both"/>
      </w:pPr>
      <w:r>
        <w:rPr>
          <w:rFonts w:ascii="Times New Roman"/>
          <w:b w:val="false"/>
          <w:i w:val="false"/>
          <w:color w:val="000000"/>
          <w:sz w:val="28"/>
        </w:rPr>
        <w:t>
      2) гарантированный объем бесплатной медицинской помощи (далее – ГОБМП) – объем медицинской помощи, предоставляемый за счет бюджетных средств;</w:t>
      </w:r>
    </w:p>
    <w:bookmarkEnd w:id="14"/>
    <w:bookmarkStart w:name="z21" w:id="15"/>
    <w:p>
      <w:pPr>
        <w:spacing w:after="0"/>
        <w:ind w:left="0"/>
        <w:jc w:val="both"/>
      </w:pPr>
      <w:r>
        <w:rPr>
          <w:rFonts w:ascii="Times New Roman"/>
          <w:b w:val="false"/>
          <w:i w:val="false"/>
          <w:color w:val="000000"/>
          <w:sz w:val="28"/>
        </w:rPr>
        <w:t>
      3) медицинские изделия – изделия медицинского назначения и медицинская техника;</w:t>
      </w:r>
    </w:p>
    <w:bookmarkEnd w:id="15"/>
    <w:bookmarkStart w:name="z22" w:id="16"/>
    <w:p>
      <w:pPr>
        <w:spacing w:after="0"/>
        <w:ind w:left="0"/>
        <w:jc w:val="both"/>
      </w:pPr>
      <w:r>
        <w:rPr>
          <w:rFonts w:ascii="Times New Roman"/>
          <w:b w:val="false"/>
          <w:i w:val="false"/>
          <w:color w:val="000000"/>
          <w:sz w:val="28"/>
        </w:rPr>
        <w:t>
      4) организация здравоохранения – юридическое лицо, осуществляющее деятельность в области здравоохранения;</w:t>
      </w:r>
    </w:p>
    <w:bookmarkEnd w:id="16"/>
    <w:bookmarkStart w:name="z23" w:id="17"/>
    <w:p>
      <w:pPr>
        <w:spacing w:after="0"/>
        <w:ind w:left="0"/>
        <w:jc w:val="both"/>
      </w:pPr>
      <w:r>
        <w:rPr>
          <w:rFonts w:ascii="Times New Roman"/>
          <w:b w:val="false"/>
          <w:i w:val="false"/>
          <w:color w:val="000000"/>
          <w:sz w:val="28"/>
        </w:rPr>
        <w:t>
      5)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17"/>
    <w:bookmarkStart w:name="z24" w:id="18"/>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25" w:id="19"/>
    <w:p>
      <w:pPr>
        <w:spacing w:after="0"/>
        <w:ind w:left="0"/>
        <w:jc w:val="both"/>
      </w:pPr>
      <w:r>
        <w:rPr>
          <w:rFonts w:ascii="Times New Roman"/>
          <w:b w:val="false"/>
          <w:i w:val="false"/>
          <w:color w:val="000000"/>
          <w:sz w:val="28"/>
        </w:rPr>
        <w:t>
      7)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9"/>
    <w:bookmarkStart w:name="z26" w:id="20"/>
    <w:p>
      <w:pPr>
        <w:spacing w:after="0"/>
        <w:ind w:left="0"/>
        <w:jc w:val="both"/>
      </w:pPr>
      <w:r>
        <w:rPr>
          <w:rFonts w:ascii="Times New Roman"/>
          <w:b w:val="false"/>
          <w:i w:val="false"/>
          <w:color w:val="000000"/>
          <w:sz w:val="28"/>
        </w:rPr>
        <w:t>
      3. В амбулаторных и стационарных условиях, в зависимости от врачебных специальностей, виды специализированной медицинской помощи подразделяются на терапевтический, хирургический, педиатрический и акушерско-гинекологический профили.</w:t>
      </w:r>
    </w:p>
    <w:bookmarkEnd w:id="20"/>
    <w:bookmarkStart w:name="z27" w:id="21"/>
    <w:p>
      <w:pPr>
        <w:spacing w:after="0"/>
        <w:ind w:left="0"/>
        <w:jc w:val="both"/>
      </w:pPr>
      <w:r>
        <w:rPr>
          <w:rFonts w:ascii="Times New Roman"/>
          <w:b w:val="false"/>
          <w:i w:val="false"/>
          <w:color w:val="000000"/>
          <w:sz w:val="28"/>
        </w:rPr>
        <w:t>
      Терапевтический профиль включает: терапию, аллергологию, гастроэнтерологию, гематологию, нефрологию, кардиологию, кардиоревматологию, пульмонологию, эндокринологию, психиатрию, психотерапию, медицинскую психологию, неврологию, терапевтическую стоматологию, сексопатологию, реабилитологию, профессиональную патологию, трудотерапию, наркологию, фтизиатрию, геронтологию-гериатрию, гирудотерапию, токсикологию, лечебную физкультуру, диетологию, рентгенологию, Су-джок-терапию, мануальную терапию, рефлексотерапию, гомеопатию, дермато-венерологию, дермато-косметологию, инфекционные заболевания, иммунологию, лепрологию.</w:t>
      </w:r>
    </w:p>
    <w:bookmarkEnd w:id="21"/>
    <w:bookmarkStart w:name="z28" w:id="22"/>
    <w:p>
      <w:pPr>
        <w:spacing w:after="0"/>
        <w:ind w:left="0"/>
        <w:jc w:val="both"/>
      </w:pPr>
      <w:r>
        <w:rPr>
          <w:rFonts w:ascii="Times New Roman"/>
          <w:b w:val="false"/>
          <w:i w:val="false"/>
          <w:color w:val="000000"/>
          <w:sz w:val="28"/>
        </w:rPr>
        <w:t>
      Хирургический профиль включает: хирургию, кардиохирургию, нейрохирургию, эндоскопию, онкологию, травматологию и ортопедию, комбустиологию, урологию, андрологию, оториноларингологию, офтальмологию, проктологию, маммологию, хирургическую стоматологию, ортодонтическую стоматологию, ортопедическую стоматологию, челюстно-лицевую хирургию, трансплантологию, экстракорпоральную детоксикацию, гипербарическую оксигенацию, токсикологию, анестезиологию-реаниматологию.</w:t>
      </w:r>
    </w:p>
    <w:bookmarkEnd w:id="22"/>
    <w:bookmarkStart w:name="z29" w:id="23"/>
    <w:p>
      <w:pPr>
        <w:spacing w:after="0"/>
        <w:ind w:left="0"/>
        <w:jc w:val="both"/>
      </w:pPr>
      <w:r>
        <w:rPr>
          <w:rFonts w:ascii="Times New Roman"/>
          <w:b w:val="false"/>
          <w:i w:val="false"/>
          <w:color w:val="000000"/>
          <w:sz w:val="28"/>
        </w:rPr>
        <w:t>
      Педиатрический профиль включает: педиатрию, фтизиопедиатрию, детскую анестезиологию и реаниматологию, детскую хирургию, детскую нейрохирургию, детскую эндоскопию, детскую травматологию и ортопедию, детскую комбустиологию, детскую трансплантологию, детскую экстракорпоральную детоксикацию, детскую аллергологию, медицинскую генетику, детскую кардиоревматологию, инфекционные заболевания у детей, детскую иммунологию, детскую онкологию, детскую онкогематологию, детскую неврологию, детскую нефрологию, детскую эндокринологию, детскую психиатрию, детскую психотерапию, детскую токсикологию, детскую гипербарическую оксигенацию, детскую пульмонологию, детскую гастроэнтерологию, детскую оториноларингологию, детскую офтальмологию, детскую стоматологию, включая ортопедию и ортодонтию, детскую челюстно-лицевую хирургию, детскую урологию, детскую и подростковую гинекологию, детскую дермато-венерологию, подростковую наркологию, подростковую терапию, детскую реабилитологию, неонатологию.</w:t>
      </w:r>
    </w:p>
    <w:bookmarkEnd w:id="23"/>
    <w:bookmarkStart w:name="z30" w:id="24"/>
    <w:p>
      <w:pPr>
        <w:spacing w:after="0"/>
        <w:ind w:left="0"/>
        <w:jc w:val="both"/>
      </w:pPr>
      <w:r>
        <w:rPr>
          <w:rFonts w:ascii="Times New Roman"/>
          <w:b w:val="false"/>
          <w:i w:val="false"/>
          <w:color w:val="000000"/>
          <w:sz w:val="28"/>
        </w:rPr>
        <w:t>
      Акушерско-гинекологический профиль включает: гинекологию, акушерство, неонатологию, медицинскую генетику, высокие репродуктивные технологии.</w:t>
      </w:r>
    </w:p>
    <w:bookmarkEnd w:id="24"/>
    <w:bookmarkStart w:name="z31" w:id="25"/>
    <w:p>
      <w:pPr>
        <w:spacing w:after="0"/>
        <w:ind w:left="0"/>
        <w:jc w:val="both"/>
      </w:pPr>
      <w:r>
        <w:rPr>
          <w:rFonts w:ascii="Times New Roman"/>
          <w:b w:val="false"/>
          <w:i w:val="false"/>
          <w:color w:val="000000"/>
          <w:sz w:val="28"/>
        </w:rPr>
        <w:t>
      4. Cпециализированная медицинская помощь населению оказываются в зависимости от уровня медицинской организации.</w:t>
      </w:r>
    </w:p>
    <w:bookmarkEnd w:id="25"/>
    <w:bookmarkStart w:name="z32" w:id="26"/>
    <w:p>
      <w:pPr>
        <w:spacing w:after="0"/>
        <w:ind w:left="0"/>
        <w:jc w:val="left"/>
      </w:pPr>
      <w:r>
        <w:rPr>
          <w:rFonts w:ascii="Times New Roman"/>
          <w:b/>
          <w:i w:val="false"/>
          <w:color w:val="000000"/>
        </w:rPr>
        <w:t xml:space="preserve"> Глава 2. Порядок оказания специализированной медицинской помощи</w:t>
      </w:r>
    </w:p>
    <w:bookmarkEnd w:id="26"/>
    <w:bookmarkStart w:name="z33" w:id="27"/>
    <w:p>
      <w:pPr>
        <w:spacing w:after="0"/>
        <w:ind w:left="0"/>
        <w:jc w:val="both"/>
      </w:pPr>
      <w:r>
        <w:rPr>
          <w:rFonts w:ascii="Times New Roman"/>
          <w:b w:val="false"/>
          <w:i w:val="false"/>
          <w:color w:val="000000"/>
          <w:sz w:val="28"/>
        </w:rPr>
        <w:t>
      5.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7"/>
    <w:bookmarkStart w:name="z34" w:id="28"/>
    <w:p>
      <w:pPr>
        <w:spacing w:after="0"/>
        <w:ind w:left="0"/>
        <w:jc w:val="both"/>
      </w:pPr>
      <w:r>
        <w:rPr>
          <w:rFonts w:ascii="Times New Roman"/>
          <w:b w:val="false"/>
          <w:i w:val="false"/>
          <w:color w:val="000000"/>
          <w:sz w:val="28"/>
        </w:rPr>
        <w:t xml:space="preserve">
      6. Специализированная медицинская помощь населению в амбулаторных условиях оказывается в порядке, определенном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28"/>
    <w:bookmarkStart w:name="z35" w:id="29"/>
    <w:p>
      <w:pPr>
        <w:spacing w:after="0"/>
        <w:ind w:left="0"/>
        <w:jc w:val="both"/>
      </w:pPr>
      <w:r>
        <w:rPr>
          <w:rFonts w:ascii="Times New Roman"/>
          <w:b w:val="false"/>
          <w:i w:val="false"/>
          <w:color w:val="000000"/>
          <w:sz w:val="28"/>
        </w:rPr>
        <w:t>
      7. На любом уровне оказания специализированной медицинской помощи при затруднении в идентификации диагноза, в том числе нетранспортабельность больного, организуется консилиум с привлечением специалистов, при необходимости с привлечением специалиста из других медицинских организаций.</w:t>
      </w:r>
    </w:p>
    <w:bookmarkEnd w:id="29"/>
    <w:bookmarkStart w:name="z36" w:id="30"/>
    <w:p>
      <w:pPr>
        <w:spacing w:after="0"/>
        <w:ind w:left="0"/>
        <w:jc w:val="both"/>
      </w:pPr>
      <w:r>
        <w:rPr>
          <w:rFonts w:ascii="Times New Roman"/>
          <w:b w:val="false"/>
          <w:i w:val="false"/>
          <w:color w:val="000000"/>
          <w:sz w:val="28"/>
        </w:rPr>
        <w:t>
      8. Услуги по оказанию специализированной медицинской помощи, не входящие в перечень ГОБМП, оказываются в системе обязательного социального медицинского страхования (далее – ОСМС) или на платной основе.</w:t>
      </w:r>
    </w:p>
    <w:bookmarkEnd w:id="30"/>
    <w:bookmarkStart w:name="z37" w:id="31"/>
    <w:p>
      <w:pPr>
        <w:spacing w:after="0"/>
        <w:ind w:left="0"/>
        <w:jc w:val="both"/>
      </w:pPr>
      <w:r>
        <w:rPr>
          <w:rFonts w:ascii="Times New Roman"/>
          <w:b w:val="false"/>
          <w:i w:val="false"/>
          <w:color w:val="000000"/>
          <w:sz w:val="28"/>
        </w:rPr>
        <w:t>
      9. Специализированную медицинскую помощь оказывают врачи, имеющие профильную специализацию и необходимую квалификацию,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10. Объем специализированной медицинской помощи, включая лабораторно-диагностические методы исследования, определяется клиническими протоколами (далее – Протокол).</w:t>
      </w:r>
    </w:p>
    <w:bookmarkEnd w:id="32"/>
    <w:bookmarkStart w:name="z39" w:id="33"/>
    <w:p>
      <w:pPr>
        <w:spacing w:after="0"/>
        <w:ind w:left="0"/>
        <w:jc w:val="both"/>
      </w:pPr>
      <w:r>
        <w:rPr>
          <w:rFonts w:ascii="Times New Roman"/>
          <w:b w:val="false"/>
          <w:i w:val="false"/>
          <w:color w:val="000000"/>
          <w:sz w:val="28"/>
        </w:rPr>
        <w:t>
      11. Дети до пяти лет, а также дети старшего возраста, нуждающиеся в соответствии с заключением врача в индивидуальном уходе, госпитализируются с матерью или другими лицами для осуществления такого ухода.</w:t>
      </w:r>
    </w:p>
    <w:bookmarkEnd w:id="33"/>
    <w:bookmarkStart w:name="z40" w:id="34"/>
    <w:p>
      <w:pPr>
        <w:spacing w:after="0"/>
        <w:ind w:left="0"/>
        <w:jc w:val="both"/>
      </w:pPr>
      <w:r>
        <w:rPr>
          <w:rFonts w:ascii="Times New Roman"/>
          <w:b w:val="false"/>
          <w:i w:val="false"/>
          <w:color w:val="000000"/>
          <w:sz w:val="28"/>
        </w:rPr>
        <w:t>
      12. Лицо, осуществляющее уход за ребенком, находящимся на стационарном лечении, бесплатно обеспечивается спальным местом.</w:t>
      </w:r>
    </w:p>
    <w:bookmarkEnd w:id="34"/>
    <w:bookmarkStart w:name="z41" w:id="35"/>
    <w:p>
      <w:pPr>
        <w:spacing w:after="0"/>
        <w:ind w:left="0"/>
        <w:jc w:val="left"/>
      </w:pPr>
      <w:r>
        <w:rPr>
          <w:rFonts w:ascii="Times New Roman"/>
          <w:b/>
          <w:i w:val="false"/>
          <w:color w:val="000000"/>
        </w:rPr>
        <w:t xml:space="preserve"> Параграф 1. Порядок оказания специализированной медицинской помощи в станционарозамещающих условиях</w:t>
      </w:r>
    </w:p>
    <w:bookmarkEnd w:id="35"/>
    <w:bookmarkStart w:name="z42" w:id="36"/>
    <w:p>
      <w:pPr>
        <w:spacing w:after="0"/>
        <w:ind w:left="0"/>
        <w:jc w:val="both"/>
      </w:pPr>
      <w:r>
        <w:rPr>
          <w:rFonts w:ascii="Times New Roman"/>
          <w:b w:val="false"/>
          <w:i w:val="false"/>
          <w:color w:val="000000"/>
          <w:sz w:val="28"/>
        </w:rPr>
        <w:t>
      13. В стационарозамещающих условиях специализированная медицинская помощь в дневных стационарах предоставляется в амбулаторных и стационарных условиях организациями здравоохранения.</w:t>
      </w:r>
    </w:p>
    <w:bookmarkEnd w:id="36"/>
    <w:bookmarkStart w:name="z43" w:id="37"/>
    <w:p>
      <w:pPr>
        <w:spacing w:after="0"/>
        <w:ind w:left="0"/>
        <w:jc w:val="both"/>
      </w:pPr>
      <w:r>
        <w:rPr>
          <w:rFonts w:ascii="Times New Roman"/>
          <w:b w:val="false"/>
          <w:i w:val="false"/>
          <w:color w:val="000000"/>
          <w:sz w:val="28"/>
        </w:rPr>
        <w:t>
      14. Специализированная медицинская помощь в стационарозамещающих условиях в рамках ГОБМП и системе ОСМС предоставляется в условиях дневного стационара по направлению специалиста первичной медико-санитарной помощи или другой организации здравоохранения с результатами лабораторных, инструментальных исследований и консультаций профильных специалистов, необходимых для лечения данного пациента.</w:t>
      </w:r>
    </w:p>
    <w:bookmarkEnd w:id="37"/>
    <w:bookmarkStart w:name="z44" w:id="38"/>
    <w:p>
      <w:pPr>
        <w:spacing w:after="0"/>
        <w:ind w:left="0"/>
        <w:jc w:val="both"/>
      </w:pPr>
      <w:r>
        <w:rPr>
          <w:rFonts w:ascii="Times New Roman"/>
          <w:b w:val="false"/>
          <w:i w:val="false"/>
          <w:color w:val="000000"/>
          <w:sz w:val="28"/>
        </w:rPr>
        <w:t>
      15. Услуги по оказанию специализированной медицинской помощи в станционарозамещающих условиях, не входящие в перечень ГОБМП, оказываются в системе ОСМС или на платной основе.</w:t>
      </w:r>
    </w:p>
    <w:bookmarkEnd w:id="38"/>
    <w:bookmarkStart w:name="z45" w:id="39"/>
    <w:p>
      <w:pPr>
        <w:spacing w:after="0"/>
        <w:ind w:left="0"/>
        <w:jc w:val="left"/>
      </w:pPr>
      <w:r>
        <w:rPr>
          <w:rFonts w:ascii="Times New Roman"/>
          <w:b/>
          <w:i w:val="false"/>
          <w:color w:val="000000"/>
        </w:rPr>
        <w:t xml:space="preserve"> Параграф 2. Порядок оказания специализированной медицинской помощи в стационарных условиях</w:t>
      </w:r>
    </w:p>
    <w:bookmarkEnd w:id="39"/>
    <w:bookmarkStart w:name="z46" w:id="40"/>
    <w:p>
      <w:pPr>
        <w:spacing w:after="0"/>
        <w:ind w:left="0"/>
        <w:jc w:val="both"/>
      </w:pPr>
      <w:r>
        <w:rPr>
          <w:rFonts w:ascii="Times New Roman"/>
          <w:b w:val="false"/>
          <w:i w:val="false"/>
          <w:color w:val="000000"/>
          <w:sz w:val="28"/>
        </w:rPr>
        <w:t>
      16. Специализированная медицинская помощь населению в стационарных условиях, оказываемая по направлению специалистов первичной медико-санитарной помощи входит в ГОБМП и ОСМС.</w:t>
      </w:r>
    </w:p>
    <w:bookmarkEnd w:id="40"/>
    <w:bookmarkStart w:name="z47" w:id="41"/>
    <w:p>
      <w:pPr>
        <w:spacing w:after="0"/>
        <w:ind w:left="0"/>
        <w:jc w:val="both"/>
      </w:pPr>
      <w:r>
        <w:rPr>
          <w:rFonts w:ascii="Times New Roman"/>
          <w:b w:val="false"/>
          <w:i w:val="false"/>
          <w:color w:val="000000"/>
          <w:sz w:val="28"/>
        </w:rPr>
        <w:t>
      17. При необходимости оказания больному специализированной медицинской помощи он направляется в соответствующую профильную (специализированную) организацию здравоохранения.</w:t>
      </w:r>
    </w:p>
    <w:bookmarkEnd w:id="41"/>
    <w:bookmarkStart w:name="z48" w:id="42"/>
    <w:p>
      <w:pPr>
        <w:spacing w:after="0"/>
        <w:ind w:left="0"/>
        <w:jc w:val="both"/>
      </w:pPr>
      <w:r>
        <w:rPr>
          <w:rFonts w:ascii="Times New Roman"/>
          <w:b w:val="false"/>
          <w:i w:val="false"/>
          <w:color w:val="000000"/>
          <w:sz w:val="28"/>
        </w:rPr>
        <w:t>
      18. Госпитализация больных проводится в соответствии с профилем отделения (коек).</w:t>
      </w:r>
    </w:p>
    <w:bookmarkEnd w:id="42"/>
    <w:bookmarkStart w:name="z49" w:id="43"/>
    <w:p>
      <w:pPr>
        <w:spacing w:after="0"/>
        <w:ind w:left="0"/>
        <w:jc w:val="both"/>
      </w:pPr>
      <w:r>
        <w:rPr>
          <w:rFonts w:ascii="Times New Roman"/>
          <w:b w:val="false"/>
          <w:i w:val="false"/>
          <w:color w:val="000000"/>
          <w:sz w:val="28"/>
        </w:rPr>
        <w:t>
      19. Руководство организации здравоохранения, самостоятельно принимает решение о плановой госпитализации при наличии медицинских показаний лиц из социально-незащищенных групп населения: дети до 18 лет, беременные, ветераны Великой Отечественной войны, лица с инвалидностью,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 собственности.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20. При выписке из стационара пациенту на руки выдается выписной эпикриз, где указывается полный клинический диагноз, проведенный объем обследования, лечения в соответствии с Протоколом и рекомендации по дальнейшему наблюдению за больным.</w:t>
      </w:r>
    </w:p>
    <w:bookmarkEnd w:id="44"/>
    <w:bookmarkStart w:name="z52" w:id="45"/>
    <w:p>
      <w:pPr>
        <w:spacing w:after="0"/>
        <w:ind w:left="0"/>
        <w:jc w:val="both"/>
      </w:pPr>
      <w:r>
        <w:rPr>
          <w:rFonts w:ascii="Times New Roman"/>
          <w:b w:val="false"/>
          <w:i w:val="false"/>
          <w:color w:val="000000"/>
          <w:sz w:val="28"/>
        </w:rPr>
        <w:t>
      Информация о пациенте одновременно передается в организацию здравоохранения, оказывающее первичную медико-санитарную помощь, по месту прикрепления больного.</w:t>
      </w:r>
    </w:p>
    <w:bookmarkEnd w:id="45"/>
    <w:bookmarkStart w:name="z53" w:id="46"/>
    <w:p>
      <w:pPr>
        <w:spacing w:after="0"/>
        <w:ind w:left="0"/>
        <w:jc w:val="left"/>
      </w:pPr>
      <w:r>
        <w:rPr>
          <w:rFonts w:ascii="Times New Roman"/>
          <w:b/>
          <w:i w:val="false"/>
          <w:color w:val="000000"/>
        </w:rPr>
        <w:t xml:space="preserve"> Глава 3. Порядок оказания высокотехнологичной медицинской помощи</w:t>
      </w:r>
    </w:p>
    <w:bookmarkEnd w:id="46"/>
    <w:bookmarkStart w:name="z54" w:id="47"/>
    <w:p>
      <w:pPr>
        <w:spacing w:after="0"/>
        <w:ind w:left="0"/>
        <w:jc w:val="both"/>
      </w:pPr>
      <w:r>
        <w:rPr>
          <w:rFonts w:ascii="Times New Roman"/>
          <w:b w:val="false"/>
          <w:i w:val="false"/>
          <w:color w:val="000000"/>
          <w:sz w:val="28"/>
        </w:rPr>
        <w:t>
      21. ВТМП предоставляются в станционарозамещающих и стационарных условиях.</w:t>
      </w:r>
    </w:p>
    <w:bookmarkEnd w:id="47"/>
    <w:bookmarkStart w:name="z55" w:id="48"/>
    <w:p>
      <w:pPr>
        <w:spacing w:after="0"/>
        <w:ind w:left="0"/>
        <w:jc w:val="both"/>
      </w:pPr>
      <w:r>
        <w:rPr>
          <w:rFonts w:ascii="Times New Roman"/>
          <w:b w:val="false"/>
          <w:i w:val="false"/>
          <w:color w:val="000000"/>
          <w:sz w:val="28"/>
        </w:rPr>
        <w:t>
      22. ВТМП оказывается медицинскими организациями при наличии заключения о соответствии организации здравоохранения к предоставлению ВТМП (далее – Заключение).</w:t>
      </w:r>
    </w:p>
    <w:bookmarkEnd w:id="48"/>
    <w:bookmarkStart w:name="z56" w:id="49"/>
    <w:p>
      <w:pPr>
        <w:spacing w:after="0"/>
        <w:ind w:left="0"/>
        <w:jc w:val="both"/>
      </w:pPr>
      <w:r>
        <w:rPr>
          <w:rFonts w:ascii="Times New Roman"/>
          <w:b w:val="false"/>
          <w:i w:val="false"/>
          <w:color w:val="000000"/>
          <w:sz w:val="28"/>
        </w:rPr>
        <w:t xml:space="preserve">
      23. Для получения заключения организация здравоохранения подает заявку в территориальное подразделение государственного органа в сфере оказания медицинских услуг (помощи) (далее – Подразделение) в электронном виде в информационной системе управления ресурсами (далее – ИС "СУР")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приложение 1).</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24. Организация здравоохранения, претендующая на предоставление ВТМП, в заявке указывает сведения о соответствии критериям к оказанию заявляемого вида ВТМП (далее – критерии)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25. Подразделение проводит оценку соответствия организации здравоохранения критериям в течение 30 календарных дней со дня получения заявки. </w:t>
      </w:r>
    </w:p>
    <w:bookmarkEnd w:id="51"/>
    <w:p>
      <w:pPr>
        <w:spacing w:after="0"/>
        <w:ind w:left="0"/>
        <w:jc w:val="both"/>
      </w:pPr>
      <w:r>
        <w:rPr>
          <w:rFonts w:ascii="Times New Roman"/>
          <w:b w:val="false"/>
          <w:i w:val="false"/>
          <w:color w:val="000000"/>
          <w:sz w:val="28"/>
        </w:rPr>
        <w:t xml:space="preserve">
      В случае соответствия организации здравоохранения критериям Подразделение выдает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3 (три) года.</w:t>
      </w:r>
    </w:p>
    <w:p>
      <w:pPr>
        <w:spacing w:after="0"/>
        <w:ind w:left="0"/>
        <w:jc w:val="both"/>
      </w:pPr>
      <w:r>
        <w:rPr>
          <w:rFonts w:ascii="Times New Roman"/>
          <w:b w:val="false"/>
          <w:i w:val="false"/>
          <w:color w:val="000000"/>
          <w:sz w:val="28"/>
        </w:rPr>
        <w:t>
      Не позднее 2 (двух) месяцев до истечения срока действия организация здравоохранения подает заявку на получение нового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26. Полученные в соответствии с настоящими Правилами заключения переоформляются на организации здравоохранения, планирующие и (или) осуществляющие деятельность с сохранением производственной базы и профиля деятельности в случаях: реорганизации, изменения организационно-правовой формы, смены юридического лица, передачи объекта в доверительное управление, подтвержденное уполномоченным органом или местными органами государственного управления здравоохранением.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27. Сведения о заключении вносятся в ИС "СУР". Заключение выдается за подписью первого руководителя Подразделения и (или) лица, исполняющего его обязанности.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28. Организация здравоохранения, получившая заключение, направляет копию заключения в ФСМС и (или) его территориальный филиал.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29. Организация здравоохранения в случае увольнения (перевода на другую должность) или замены специалиста, допущенного к оказанию ВТМП на вновь прибывшего, а также в случае возникновения неисправности заявленного медицинского изделия, требующего длительного (более 3-х месяцев) ремонта или его замены, в течение десяти рабочих дней актуализирует сведения в ИС "СУР".</w:t>
      </w:r>
    </w:p>
    <w:bookmarkEnd w:id="55"/>
    <w:bookmarkStart w:name="z68" w:id="56"/>
    <w:p>
      <w:pPr>
        <w:spacing w:after="0"/>
        <w:ind w:left="0"/>
        <w:jc w:val="both"/>
      </w:pPr>
      <w:r>
        <w:rPr>
          <w:rFonts w:ascii="Times New Roman"/>
          <w:b w:val="false"/>
          <w:i w:val="false"/>
          <w:color w:val="000000"/>
          <w:sz w:val="28"/>
        </w:rPr>
        <w:t>
      30. В случае изменения кода или наименования ВТМП Подразделение на основании заявки организации здравоохранения, претендующей на предоставление ВТМП, при соответствии критериям переоформляет заключение в соответствии с новым кодом или наименованием в течение 30 календарных дней с момента поступления заявки.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07.09.2022 </w:t>
      </w:r>
      <w:r>
        <w:rPr>
          <w:rFonts w:ascii="Times New Roman"/>
          <w:b w:val="false"/>
          <w:i w:val="false"/>
          <w:color w:val="00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31. Организация здравоохранения по месту прикрепления пациента при его обращении на основании заключения профильного специалиста направляет документы пациента в комиссию по высокотехнологичной медицинской помощи (далее - Комиссия ВТМП).</w:t>
      </w:r>
    </w:p>
    <w:bookmarkEnd w:id="57"/>
    <w:bookmarkStart w:name="z70" w:id="58"/>
    <w:p>
      <w:pPr>
        <w:spacing w:after="0"/>
        <w:ind w:left="0"/>
        <w:jc w:val="both"/>
      </w:pPr>
      <w:r>
        <w:rPr>
          <w:rFonts w:ascii="Times New Roman"/>
          <w:b w:val="false"/>
          <w:i w:val="false"/>
          <w:color w:val="000000"/>
          <w:sz w:val="28"/>
        </w:rPr>
        <w:t>
      Организация здравоохранения по месту прикрепления пациента информирует его о возможности альтернативного выбора организации здравоохранения, предоставляющей ВТМП по соответствующему профилю.</w:t>
      </w:r>
    </w:p>
    <w:bookmarkEnd w:id="58"/>
    <w:bookmarkStart w:name="z71" w:id="59"/>
    <w:p>
      <w:pPr>
        <w:spacing w:after="0"/>
        <w:ind w:left="0"/>
        <w:jc w:val="both"/>
      </w:pPr>
      <w:r>
        <w:rPr>
          <w:rFonts w:ascii="Times New Roman"/>
          <w:b w:val="false"/>
          <w:i w:val="false"/>
          <w:color w:val="000000"/>
          <w:sz w:val="28"/>
        </w:rPr>
        <w:t>
      32. Комиссия ВТМП создается руководителем местного органа государственного управления здравоохранения из профильных специалистов для решения вопроса направления пациента в организацию здравоохранения, предоставляющую ВТМП.</w:t>
      </w:r>
    </w:p>
    <w:bookmarkEnd w:id="59"/>
    <w:bookmarkStart w:name="z72" w:id="60"/>
    <w:p>
      <w:pPr>
        <w:spacing w:after="0"/>
        <w:ind w:left="0"/>
        <w:jc w:val="both"/>
      </w:pPr>
      <w:r>
        <w:rPr>
          <w:rFonts w:ascii="Times New Roman"/>
          <w:b w:val="false"/>
          <w:i w:val="false"/>
          <w:color w:val="000000"/>
          <w:sz w:val="28"/>
        </w:rPr>
        <w:t>
      33. Организация здравоохранения по месту прикрепления пациента направляет пакет документов пациента в бумажном или электронном виде на рассмотрение Комиссии ВТМП.</w:t>
      </w:r>
    </w:p>
    <w:bookmarkEnd w:id="60"/>
    <w:bookmarkStart w:name="z73" w:id="61"/>
    <w:p>
      <w:pPr>
        <w:spacing w:after="0"/>
        <w:ind w:left="0"/>
        <w:jc w:val="both"/>
      </w:pPr>
      <w:r>
        <w:rPr>
          <w:rFonts w:ascii="Times New Roman"/>
          <w:b w:val="false"/>
          <w:i w:val="false"/>
          <w:color w:val="000000"/>
          <w:sz w:val="28"/>
        </w:rPr>
        <w:t>
      34. Пакет документов, предоставляемый Комиссии ВТМП, включает в себя:</w:t>
      </w:r>
    </w:p>
    <w:bookmarkEnd w:id="61"/>
    <w:bookmarkStart w:name="z74" w:id="62"/>
    <w:p>
      <w:pPr>
        <w:spacing w:after="0"/>
        <w:ind w:left="0"/>
        <w:jc w:val="both"/>
      </w:pPr>
      <w:r>
        <w:rPr>
          <w:rFonts w:ascii="Times New Roman"/>
          <w:b w:val="false"/>
          <w:i w:val="false"/>
          <w:color w:val="000000"/>
          <w:sz w:val="28"/>
        </w:rPr>
        <w:t>
      1) копию документа, удостоверяющего личность пациента;</w:t>
      </w:r>
    </w:p>
    <w:bookmarkEnd w:id="62"/>
    <w:bookmarkStart w:name="z75" w:id="63"/>
    <w:p>
      <w:pPr>
        <w:spacing w:after="0"/>
        <w:ind w:left="0"/>
        <w:jc w:val="both"/>
      </w:pPr>
      <w:r>
        <w:rPr>
          <w:rFonts w:ascii="Times New Roman"/>
          <w:b w:val="false"/>
          <w:i w:val="false"/>
          <w:color w:val="000000"/>
          <w:sz w:val="28"/>
        </w:rPr>
        <w:t>
      2) направление в медицинскую организацию на госпитализацию в стационар и (или) в дневной стационар;</w:t>
      </w:r>
    </w:p>
    <w:bookmarkEnd w:id="63"/>
    <w:bookmarkStart w:name="z76" w:id="64"/>
    <w:p>
      <w:pPr>
        <w:spacing w:after="0"/>
        <w:ind w:left="0"/>
        <w:jc w:val="both"/>
      </w:pPr>
      <w:r>
        <w:rPr>
          <w:rFonts w:ascii="Times New Roman"/>
          <w:b w:val="false"/>
          <w:i w:val="false"/>
          <w:color w:val="000000"/>
          <w:sz w:val="28"/>
        </w:rPr>
        <w:t>
      3) выписку медицинской карты амбулаторного пациента или медицинской карты стационарного больного с указанием клинического диагноза, заверенную подписями лечащего врача, заведующего отделением и заместителя главного врача по лечебно-профилактической работе, а также печатью организации здравоохранения;</w:t>
      </w:r>
    </w:p>
    <w:bookmarkEnd w:id="64"/>
    <w:bookmarkStart w:name="z77" w:id="65"/>
    <w:p>
      <w:pPr>
        <w:spacing w:after="0"/>
        <w:ind w:left="0"/>
        <w:jc w:val="both"/>
      </w:pPr>
      <w:r>
        <w:rPr>
          <w:rFonts w:ascii="Times New Roman"/>
          <w:b w:val="false"/>
          <w:i w:val="false"/>
          <w:color w:val="000000"/>
          <w:sz w:val="28"/>
        </w:rPr>
        <w:t>
      4) результаты клинико-диагностических (лабораторные, инструментальные и функциональные) исследований, консультации профильных специалистов согласно клинических протоколов диагностики и лечения.</w:t>
      </w:r>
    </w:p>
    <w:bookmarkEnd w:id="65"/>
    <w:bookmarkStart w:name="z78" w:id="66"/>
    <w:p>
      <w:pPr>
        <w:spacing w:after="0"/>
        <w:ind w:left="0"/>
        <w:jc w:val="both"/>
      </w:pPr>
      <w:r>
        <w:rPr>
          <w:rFonts w:ascii="Times New Roman"/>
          <w:b w:val="false"/>
          <w:i w:val="false"/>
          <w:color w:val="000000"/>
          <w:sz w:val="28"/>
        </w:rPr>
        <w:t>
      35. Комиссия ВТМП:</w:t>
      </w:r>
    </w:p>
    <w:bookmarkEnd w:id="66"/>
    <w:bookmarkStart w:name="z79" w:id="67"/>
    <w:p>
      <w:pPr>
        <w:spacing w:after="0"/>
        <w:ind w:left="0"/>
        <w:jc w:val="both"/>
      </w:pPr>
      <w:r>
        <w:rPr>
          <w:rFonts w:ascii="Times New Roman"/>
          <w:b w:val="false"/>
          <w:i w:val="false"/>
          <w:color w:val="000000"/>
          <w:sz w:val="28"/>
        </w:rPr>
        <w:t>
      1) рассматривает пакет документов пациента заочно, в течение двух рабочих дней с момента поступления;</w:t>
      </w:r>
    </w:p>
    <w:bookmarkEnd w:id="67"/>
    <w:bookmarkStart w:name="z80" w:id="68"/>
    <w:p>
      <w:pPr>
        <w:spacing w:after="0"/>
        <w:ind w:left="0"/>
        <w:jc w:val="both"/>
      </w:pPr>
      <w:r>
        <w:rPr>
          <w:rFonts w:ascii="Times New Roman"/>
          <w:b w:val="false"/>
          <w:i w:val="false"/>
          <w:color w:val="000000"/>
          <w:sz w:val="28"/>
        </w:rPr>
        <w:t>
      2) определяет обоснованность направления пациента в организацию здравоохранения, предоставляющую ВТМП;</w:t>
      </w:r>
    </w:p>
    <w:bookmarkEnd w:id="68"/>
    <w:bookmarkStart w:name="z81" w:id="69"/>
    <w:p>
      <w:pPr>
        <w:spacing w:after="0"/>
        <w:ind w:left="0"/>
        <w:jc w:val="both"/>
      </w:pPr>
      <w:r>
        <w:rPr>
          <w:rFonts w:ascii="Times New Roman"/>
          <w:b w:val="false"/>
          <w:i w:val="false"/>
          <w:color w:val="000000"/>
          <w:sz w:val="28"/>
        </w:rPr>
        <w:t>
      3) принимает решение, оформляемое в виде протокола.</w:t>
      </w:r>
    </w:p>
    <w:bookmarkEnd w:id="69"/>
    <w:bookmarkStart w:name="z82" w:id="70"/>
    <w:p>
      <w:pPr>
        <w:spacing w:after="0"/>
        <w:ind w:left="0"/>
        <w:jc w:val="both"/>
      </w:pPr>
      <w:r>
        <w:rPr>
          <w:rFonts w:ascii="Times New Roman"/>
          <w:b w:val="false"/>
          <w:i w:val="false"/>
          <w:color w:val="000000"/>
          <w:sz w:val="28"/>
        </w:rPr>
        <w:t>
      36. При принятии положительного решения Комиссия ВТМП регистрирует направление на госпитализацию в Портале "Бюро госпитализации" (далее – Портал) с прикреплением пакета документов пациента.</w:t>
      </w:r>
    </w:p>
    <w:bookmarkEnd w:id="70"/>
    <w:bookmarkStart w:name="z83" w:id="71"/>
    <w:p>
      <w:pPr>
        <w:spacing w:after="0"/>
        <w:ind w:left="0"/>
        <w:jc w:val="both"/>
      </w:pPr>
      <w:r>
        <w:rPr>
          <w:rFonts w:ascii="Times New Roman"/>
          <w:b w:val="false"/>
          <w:i w:val="false"/>
          <w:color w:val="000000"/>
          <w:sz w:val="28"/>
        </w:rPr>
        <w:t>
      37. Направление в медицинскую организацию на госпитализацию, сформированное в электронном формате, пациент получает:</w:t>
      </w:r>
    </w:p>
    <w:bookmarkEnd w:id="71"/>
    <w:bookmarkStart w:name="z84" w:id="72"/>
    <w:p>
      <w:pPr>
        <w:spacing w:after="0"/>
        <w:ind w:left="0"/>
        <w:jc w:val="both"/>
      </w:pPr>
      <w:r>
        <w:rPr>
          <w:rFonts w:ascii="Times New Roman"/>
          <w:b w:val="false"/>
          <w:i w:val="false"/>
          <w:color w:val="000000"/>
          <w:sz w:val="28"/>
        </w:rPr>
        <w:t>
      1) на веб-портале;</w:t>
      </w:r>
    </w:p>
    <w:bookmarkEnd w:id="72"/>
    <w:bookmarkStart w:name="z85" w:id="73"/>
    <w:p>
      <w:pPr>
        <w:spacing w:after="0"/>
        <w:ind w:left="0"/>
        <w:jc w:val="both"/>
      </w:pPr>
      <w:r>
        <w:rPr>
          <w:rFonts w:ascii="Times New Roman"/>
          <w:b w:val="false"/>
          <w:i w:val="false"/>
          <w:color w:val="000000"/>
          <w:sz w:val="28"/>
        </w:rPr>
        <w:t>
      2) в приемном покое при госпитализации в организацию здравоохранения, предоставляющую ВТМП;</w:t>
      </w:r>
    </w:p>
    <w:bookmarkEnd w:id="73"/>
    <w:bookmarkStart w:name="z86" w:id="74"/>
    <w:p>
      <w:pPr>
        <w:spacing w:after="0"/>
        <w:ind w:left="0"/>
        <w:jc w:val="both"/>
      </w:pPr>
      <w:r>
        <w:rPr>
          <w:rFonts w:ascii="Times New Roman"/>
          <w:b w:val="false"/>
          <w:i w:val="false"/>
          <w:color w:val="000000"/>
          <w:sz w:val="28"/>
        </w:rPr>
        <w:t>
      3) по запросу в организации здравоохранения по месту прикрепления.</w:t>
      </w:r>
    </w:p>
    <w:bookmarkEnd w:id="74"/>
    <w:bookmarkStart w:name="z87" w:id="75"/>
    <w:p>
      <w:pPr>
        <w:spacing w:after="0"/>
        <w:ind w:left="0"/>
        <w:jc w:val="both"/>
      </w:pPr>
      <w:r>
        <w:rPr>
          <w:rFonts w:ascii="Times New Roman"/>
          <w:b w:val="false"/>
          <w:i w:val="false"/>
          <w:color w:val="000000"/>
          <w:sz w:val="28"/>
        </w:rPr>
        <w:t>
      38. Организация здравоохранения, предоставляющая ВТМП, в Портале рассматривает поступившее направление на госпитализацию с документами пациента в течение двух рабочих дней с момента поступления и определяет дату госпитализации в стационар.</w:t>
      </w:r>
    </w:p>
    <w:bookmarkEnd w:id="75"/>
    <w:bookmarkStart w:name="z88" w:id="76"/>
    <w:p>
      <w:pPr>
        <w:spacing w:after="0"/>
        <w:ind w:left="0"/>
        <w:jc w:val="both"/>
      </w:pPr>
      <w:r>
        <w:rPr>
          <w:rFonts w:ascii="Times New Roman"/>
          <w:b w:val="false"/>
          <w:i w:val="false"/>
          <w:color w:val="000000"/>
          <w:sz w:val="28"/>
        </w:rPr>
        <w:t>
      39. Организация здравоохранения по месту прикрепления пациента просматривает в Портале дату госпитализации в направлении, установленную организацией здравоохранения, предоставляющей ВТМП и в течение одного рабочего дня информирует пациента о дате госпитализации в стационар.</w:t>
      </w:r>
    </w:p>
    <w:bookmarkEnd w:id="76"/>
    <w:bookmarkStart w:name="z89" w:id="77"/>
    <w:p>
      <w:pPr>
        <w:spacing w:after="0"/>
        <w:ind w:left="0"/>
        <w:jc w:val="both"/>
      </w:pPr>
      <w:r>
        <w:rPr>
          <w:rFonts w:ascii="Times New Roman"/>
          <w:b w:val="false"/>
          <w:i w:val="false"/>
          <w:color w:val="000000"/>
          <w:sz w:val="28"/>
        </w:rPr>
        <w:t>
      Информирование пациента о дате госпитализации в организацию, предоставляющую ВТМП, осуществляется путем:</w:t>
      </w:r>
    </w:p>
    <w:bookmarkEnd w:id="77"/>
    <w:bookmarkStart w:name="z90" w:id="78"/>
    <w:p>
      <w:pPr>
        <w:spacing w:after="0"/>
        <w:ind w:left="0"/>
        <w:jc w:val="both"/>
      </w:pPr>
      <w:r>
        <w:rPr>
          <w:rFonts w:ascii="Times New Roman"/>
          <w:b w:val="false"/>
          <w:i w:val="false"/>
          <w:color w:val="000000"/>
          <w:sz w:val="28"/>
        </w:rPr>
        <w:t>
      1) устного оповещения;</w:t>
      </w:r>
    </w:p>
    <w:bookmarkEnd w:id="78"/>
    <w:bookmarkStart w:name="z91" w:id="79"/>
    <w:p>
      <w:pPr>
        <w:spacing w:after="0"/>
        <w:ind w:left="0"/>
        <w:jc w:val="both"/>
      </w:pPr>
      <w:r>
        <w:rPr>
          <w:rFonts w:ascii="Times New Roman"/>
          <w:b w:val="false"/>
          <w:i w:val="false"/>
          <w:color w:val="000000"/>
          <w:sz w:val="28"/>
        </w:rPr>
        <w:t>
      2) sms-оповещения;</w:t>
      </w:r>
    </w:p>
    <w:bookmarkEnd w:id="79"/>
    <w:bookmarkStart w:name="z92" w:id="80"/>
    <w:p>
      <w:pPr>
        <w:spacing w:after="0"/>
        <w:ind w:left="0"/>
        <w:jc w:val="both"/>
      </w:pPr>
      <w:r>
        <w:rPr>
          <w:rFonts w:ascii="Times New Roman"/>
          <w:b w:val="false"/>
          <w:i w:val="false"/>
          <w:color w:val="000000"/>
          <w:sz w:val="28"/>
        </w:rPr>
        <w:t>
      3) электронного оповещения в кабинете пользователя;</w:t>
      </w:r>
    </w:p>
    <w:bookmarkEnd w:id="80"/>
    <w:bookmarkStart w:name="z93" w:id="81"/>
    <w:p>
      <w:pPr>
        <w:spacing w:after="0"/>
        <w:ind w:left="0"/>
        <w:jc w:val="both"/>
      </w:pPr>
      <w:r>
        <w:rPr>
          <w:rFonts w:ascii="Times New Roman"/>
          <w:b w:val="false"/>
          <w:i w:val="false"/>
          <w:color w:val="000000"/>
          <w:sz w:val="28"/>
        </w:rPr>
        <w:t>
      4) в медицинских информационных системах, в том числе с использованием мобильных приложений.</w:t>
      </w:r>
    </w:p>
    <w:bookmarkEnd w:id="81"/>
    <w:bookmarkStart w:name="z94" w:id="82"/>
    <w:p>
      <w:pPr>
        <w:spacing w:after="0"/>
        <w:ind w:left="0"/>
        <w:jc w:val="both"/>
      </w:pPr>
      <w:r>
        <w:rPr>
          <w:rFonts w:ascii="Times New Roman"/>
          <w:b w:val="false"/>
          <w:i w:val="false"/>
          <w:color w:val="000000"/>
          <w:sz w:val="28"/>
        </w:rPr>
        <w:t>
      40. В случае нахождения пациента на стационарном лечении в организации здравоохранения, при наличии медицинских показаний для оказания пациенту ВТМП, лечащий врач совместно с заведующим отделением или заместителем главного врача по лечебной работе данной организации здравоохранения, направляет электронной почтой (сканированную форму) выписку из медицинской карты стационарного больного на рассмотрение Комиссии ВТМП.</w:t>
      </w:r>
    </w:p>
    <w:bookmarkEnd w:id="82"/>
    <w:bookmarkStart w:name="z95" w:id="83"/>
    <w:p>
      <w:pPr>
        <w:spacing w:after="0"/>
        <w:ind w:left="0"/>
        <w:jc w:val="both"/>
      </w:pPr>
      <w:r>
        <w:rPr>
          <w:rFonts w:ascii="Times New Roman"/>
          <w:b w:val="false"/>
          <w:i w:val="false"/>
          <w:color w:val="000000"/>
          <w:sz w:val="28"/>
        </w:rPr>
        <w:t>
      При принятии положительного решения об оказании ВТМП пациенту, находящемуся в организации здравоохранения, Комиссия ВТМП регистрирует направление в Портале.</w:t>
      </w:r>
    </w:p>
    <w:bookmarkEnd w:id="83"/>
    <w:bookmarkStart w:name="z96" w:id="84"/>
    <w:p>
      <w:pPr>
        <w:spacing w:after="0"/>
        <w:ind w:left="0"/>
        <w:jc w:val="both"/>
      </w:pPr>
      <w:r>
        <w:rPr>
          <w:rFonts w:ascii="Times New Roman"/>
          <w:b w:val="false"/>
          <w:i w:val="false"/>
          <w:color w:val="000000"/>
          <w:sz w:val="28"/>
        </w:rPr>
        <w:t xml:space="preserve">
      При принятии отрицательного решения об оказании ВТМП пациенту, находящемуся в организации здравоохранения, Комиссия ВТМП регистрирует отказ с указанием основании в журнале учета приема больных и отказов в госпитализации по форме, утвержденной в соответствии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реализованной в Портале в электронном формате.</w:t>
      </w:r>
    </w:p>
    <w:bookmarkEnd w:id="84"/>
    <w:bookmarkStart w:name="z97" w:id="85"/>
    <w:p>
      <w:pPr>
        <w:spacing w:after="0"/>
        <w:ind w:left="0"/>
        <w:jc w:val="both"/>
      </w:pPr>
      <w:r>
        <w:rPr>
          <w:rFonts w:ascii="Times New Roman"/>
          <w:b w:val="false"/>
          <w:i w:val="false"/>
          <w:color w:val="000000"/>
          <w:sz w:val="28"/>
        </w:rPr>
        <w:t>
      Комиссия ВТМП принимает отрицательное решение:</w:t>
      </w:r>
    </w:p>
    <w:bookmarkEnd w:id="85"/>
    <w:bookmarkStart w:name="z98" w:id="86"/>
    <w:p>
      <w:pPr>
        <w:spacing w:after="0"/>
        <w:ind w:left="0"/>
        <w:jc w:val="both"/>
      </w:pPr>
      <w:r>
        <w:rPr>
          <w:rFonts w:ascii="Times New Roman"/>
          <w:b w:val="false"/>
          <w:i w:val="false"/>
          <w:color w:val="000000"/>
          <w:sz w:val="28"/>
        </w:rPr>
        <w:t>
      1) в случае отсутствия показаний к ВТМП в соответствии со стандартами организации медицинской помощи и клиническими протоколами;</w:t>
      </w:r>
    </w:p>
    <w:bookmarkEnd w:id="86"/>
    <w:bookmarkStart w:name="z99" w:id="87"/>
    <w:p>
      <w:pPr>
        <w:spacing w:after="0"/>
        <w:ind w:left="0"/>
        <w:jc w:val="both"/>
      </w:pPr>
      <w:r>
        <w:rPr>
          <w:rFonts w:ascii="Times New Roman"/>
          <w:b w:val="false"/>
          <w:i w:val="false"/>
          <w:color w:val="000000"/>
          <w:sz w:val="28"/>
        </w:rPr>
        <w:t>
      2) в случае сдачи неполного пакета документов в соответствии с пунктом 33 настоящих Правил.</w:t>
      </w:r>
    </w:p>
    <w:bookmarkEnd w:id="87"/>
    <w:bookmarkStart w:name="z100" w:id="88"/>
    <w:p>
      <w:pPr>
        <w:spacing w:after="0"/>
        <w:ind w:left="0"/>
        <w:jc w:val="both"/>
      </w:pPr>
      <w:r>
        <w:rPr>
          <w:rFonts w:ascii="Times New Roman"/>
          <w:b w:val="false"/>
          <w:i w:val="false"/>
          <w:color w:val="000000"/>
          <w:sz w:val="28"/>
        </w:rPr>
        <w:t>
      3) при установлении недостоверности представленных документов.</w:t>
      </w:r>
    </w:p>
    <w:bookmarkEnd w:id="88"/>
    <w:bookmarkStart w:name="z101" w:id="89"/>
    <w:p>
      <w:pPr>
        <w:spacing w:after="0"/>
        <w:ind w:left="0"/>
        <w:jc w:val="both"/>
      </w:pPr>
      <w:r>
        <w:rPr>
          <w:rFonts w:ascii="Times New Roman"/>
          <w:b w:val="false"/>
          <w:i w:val="false"/>
          <w:color w:val="000000"/>
          <w:sz w:val="28"/>
        </w:rPr>
        <w:t>
      41. По окончании оказания ВТМП, организация здравоохранения, выполнившая ВТМП, направляет в организацию здравоохранения по месту прикрепления пациента выписной эпикриз пациента с рекомендациями дальнейшего ведения, в том числе с планом совместного динамического наблюдения эффективности, проведенной ВТМП.</w:t>
      </w:r>
    </w:p>
    <w:bookmarkEnd w:id="89"/>
    <w:bookmarkStart w:name="z102" w:id="90"/>
    <w:p>
      <w:pPr>
        <w:spacing w:after="0"/>
        <w:ind w:left="0"/>
        <w:jc w:val="both"/>
      </w:pPr>
      <w:r>
        <w:rPr>
          <w:rFonts w:ascii="Times New Roman"/>
          <w:b w:val="false"/>
          <w:i w:val="false"/>
          <w:color w:val="000000"/>
          <w:sz w:val="28"/>
        </w:rPr>
        <w:t>
      42. Организация здравоохранения по месту прикрепления пациента проводит динамическое наблюдение состояния пациента после оказания ВТМП (наличие осложнений, инвалидность, выживаемость в течение одного года после проведенной операции, летальные исходы) и в первом квартале следующего за отчетным годом, предоставляет отчет в местные органы государственного управления здравоохранения.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w:t>
            </w:r>
            <w:r>
              <w:br/>
            </w:r>
            <w:r>
              <w:rPr>
                <w:rFonts w:ascii="Times New Roman"/>
                <w:b w:val="false"/>
                <w:i w:val="false"/>
                <w:color w:val="000000"/>
                <w:sz w:val="20"/>
              </w:rPr>
              <w:t>числе высокотехнологичной</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1"/>
    <w:p>
      <w:pPr>
        <w:spacing w:after="0"/>
        <w:ind w:left="0"/>
        <w:jc w:val="left"/>
      </w:pPr>
      <w:r>
        <w:rPr>
          <w:rFonts w:ascii="Times New Roman"/>
          <w:b/>
          <w:i w:val="false"/>
          <w:color w:val="000000"/>
        </w:rPr>
        <w:t xml:space="preserve">        Заявка на соответствие организации здравоохранения к предоставлению </w:t>
      </w:r>
      <w:r>
        <w:br/>
      </w:r>
      <w:r>
        <w:rPr>
          <w:rFonts w:ascii="Times New Roman"/>
          <w:b/>
          <w:i w:val="false"/>
          <w:color w:val="000000"/>
        </w:rPr>
        <w:t xml:space="preserve">       высокотехнологичных медицинских помощи (далее – ВТМП) на _______ год</w:t>
      </w:r>
    </w:p>
    <w:bookmarkEnd w:id="91"/>
    <w:bookmarkStart w:name="z106" w:id="92"/>
    <w:p>
      <w:pPr>
        <w:spacing w:after="0"/>
        <w:ind w:left="0"/>
        <w:jc w:val="both"/>
      </w:pPr>
      <w:r>
        <w:rPr>
          <w:rFonts w:ascii="Times New Roman"/>
          <w:b w:val="false"/>
          <w:i w:val="false"/>
          <w:color w:val="000000"/>
          <w:sz w:val="28"/>
        </w:rPr>
        <w:t>
      Организация здравоохранения</w:t>
      </w:r>
    </w:p>
    <w:bookmarkEnd w:id="92"/>
    <w:p>
      <w:pPr>
        <w:spacing w:after="0"/>
        <w:ind w:left="0"/>
        <w:jc w:val="both"/>
      </w:pPr>
      <w:bookmarkStart w:name="z107" w:id="93"/>
      <w:r>
        <w:rPr>
          <w:rFonts w:ascii="Times New Roman"/>
          <w:b w:val="false"/>
          <w:i w:val="false"/>
          <w:color w:val="000000"/>
          <w:sz w:val="28"/>
        </w:rPr>
        <w:t>
       ________________________________________________________________</w:t>
      </w:r>
    </w:p>
    <w:bookmarkEnd w:id="93"/>
    <w:p>
      <w:pPr>
        <w:spacing w:after="0"/>
        <w:ind w:left="0"/>
        <w:jc w:val="both"/>
      </w:pPr>
      <w:r>
        <w:rPr>
          <w:rFonts w:ascii="Times New Roman"/>
          <w:b w:val="false"/>
          <w:i w:val="false"/>
          <w:color w:val="000000"/>
          <w:sz w:val="28"/>
        </w:rPr>
        <w:t xml:space="preserve">                   (полное юридическое наименование)</w:t>
      </w:r>
    </w:p>
    <w:bookmarkStart w:name="z108" w:id="94"/>
    <w:p>
      <w:pPr>
        <w:spacing w:after="0"/>
        <w:ind w:left="0"/>
        <w:jc w:val="both"/>
      </w:pPr>
      <w:r>
        <w:rPr>
          <w:rFonts w:ascii="Times New Roman"/>
          <w:b w:val="false"/>
          <w:i w:val="false"/>
          <w:color w:val="000000"/>
          <w:sz w:val="28"/>
        </w:rPr>
        <w:t>
      Просит допустить к предоставлению ВТМП: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изделиях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ВТМП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5"/>
    <w:p>
      <w:pPr>
        <w:spacing w:after="0"/>
        <w:ind w:left="0"/>
        <w:jc w:val="both"/>
      </w:pPr>
      <w:r>
        <w:rPr>
          <w:rFonts w:ascii="Times New Roman"/>
          <w:b w:val="false"/>
          <w:i w:val="false"/>
          <w:color w:val="000000"/>
          <w:sz w:val="28"/>
        </w:rPr>
        <w:t xml:space="preserve">
      Примечание: </w:t>
      </w:r>
    </w:p>
    <w:bookmarkEnd w:id="95"/>
    <w:bookmarkStart w:name="z110" w:id="96"/>
    <w:p>
      <w:pPr>
        <w:spacing w:after="0"/>
        <w:ind w:left="0"/>
        <w:jc w:val="both"/>
      </w:pPr>
      <w:r>
        <w:rPr>
          <w:rFonts w:ascii="Times New Roman"/>
          <w:b w:val="false"/>
          <w:i w:val="false"/>
          <w:color w:val="000000"/>
          <w:sz w:val="28"/>
        </w:rPr>
        <w:t>
      1. Заполняется организацией здравоохранения, претендующей на предоставление ВТМП, в соответствии с приложением 2 настоящих Правил.</w:t>
      </w:r>
    </w:p>
    <w:bookmarkEnd w:id="96"/>
    <w:bookmarkStart w:name="z111" w:id="97"/>
    <w:p>
      <w:pPr>
        <w:spacing w:after="0"/>
        <w:ind w:left="0"/>
        <w:jc w:val="both"/>
      </w:pPr>
      <w:r>
        <w:rPr>
          <w:rFonts w:ascii="Times New Roman"/>
          <w:b w:val="false"/>
          <w:i w:val="false"/>
          <w:color w:val="000000"/>
          <w:sz w:val="28"/>
        </w:rPr>
        <w:t>
      2. Организация здравоохранения, претендующая на предоставление ВТМП впервые, графу "Планируемый объем ВТМП" не заполняет.</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 числе</w:t>
            </w:r>
            <w:r>
              <w:br/>
            </w:r>
            <w:r>
              <w:rPr>
                <w:rFonts w:ascii="Times New Roman"/>
                <w:b w:val="false"/>
                <w:i w:val="false"/>
                <w:color w:val="000000"/>
                <w:sz w:val="20"/>
              </w:rPr>
              <w:t>высокотехнологичной</w:t>
            </w:r>
            <w:r>
              <w:br/>
            </w:r>
            <w:r>
              <w:rPr>
                <w:rFonts w:ascii="Times New Roman"/>
                <w:b w:val="false"/>
                <w:i w:val="false"/>
                <w:color w:val="000000"/>
                <w:sz w:val="20"/>
              </w:rPr>
              <w:t>медицинской помощи</w:t>
            </w:r>
          </w:p>
        </w:tc>
      </w:tr>
    </w:tbl>
    <w:bookmarkStart w:name="z136" w:id="98"/>
    <w:p>
      <w:pPr>
        <w:spacing w:after="0"/>
        <w:ind w:left="0"/>
        <w:jc w:val="left"/>
      </w:pPr>
      <w:r>
        <w:rPr>
          <w:rFonts w:ascii="Times New Roman"/>
          <w:b/>
          <w:i w:val="false"/>
          <w:color w:val="000000"/>
        </w:rPr>
        <w:t xml:space="preserve"> Критерии к организациям здравоохранения, оказывающим высокотехнологичную медицинскую помощь</w:t>
      </w:r>
    </w:p>
    <w:bookmarkEnd w:id="98"/>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28.12.2023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высокотехнологичной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медицинским изделиям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Биплановая ангиографическая установка. Магнитно-резонансный томограф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 (или) ткани от кадавра для трансплантации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хирургического лечения эпилепсии в объеме не менее 216 часов за последние 3 года. Опыт самостоятельных микрохирургических операций на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с магнитным полем не менее 1,5 тесла.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функциональной нейрохирургии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Наркозно–дыхательный аппарат. Аппарат мобильный рентгеновский хирургический с С-дугой. Электротрепан с набором для спинальной нейрохирурии.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эхокардиограф с внутрисердечной и/или чрезпищеводным датчиком.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афферентной гемокоррекции. Аппарат для подачи монооксида азота.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 (или) вентрикулярного электрода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 и (или) дефибриллятора, системы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 и (или)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опыт имплантации электрокардиостимулятора - не менее 30 операций,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артерий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по специальности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сосудистой нейрохирургии в объеме не менее 216 часов за последние 3 года. Опыт самостоятельных микрохирургических операций на сосудах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биплановым ангиографом. Интраоперационный мониторинг гемодинамики. Наркозно-дыхательный аппарат. Операционный микроскоп. Операционный стол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1.Для кардиохирургического профиля: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свидетельство о повышении квалификации по циклу "Экстракорпоральная мембранная оксигенация"7</w:t>
            </w:r>
          </w:p>
          <w:p>
            <w:pPr>
              <w:spacing w:after="20"/>
              <w:ind w:left="20"/>
              <w:jc w:val="both"/>
            </w:pPr>
            <w:r>
              <w:rPr>
                <w:rFonts w:ascii="Times New Roman"/>
                <w:b w:val="false"/>
                <w:i w:val="false"/>
                <w:color w:val="000000"/>
                <w:sz w:val="20"/>
              </w:rPr>
              <w:t>
2. Для других профилей: наличие в штате специалиста, имеющего сертификат по специальности "Анестезиология и реаниматология (перфузиология, токсикология)", стаж работы по специальности не менее 5 лет, свидетельство о повышении квалификации по перфузиологии в объеме не менее 54 часа, свидетельство о повышении квалификации по циклу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Биплановая ангиографическая установка. Магнитно-резонансный томограф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 Ангиографическая установка с системой гемодинамики. Аппарат для реинфузии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оборудуются гепа-фильтрами и (или) иными устройствами нагнетации ламинарного потока воздуха. Палаты одноместные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оборудуются гепа-фильтрами и (или) иными устройствами нагнетации ламинарного потока воздуха. Палаты одноместные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-1 ,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стойка эндовидеохирургическая лапароскопическая - 1,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 Моно- и биполярный электрокоагулятор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гармонический ультразвуковой скальпель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Гипертермическая интраперитонеальная химиотерапия (HIPEC) перитонеального канцероматоза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Наличие аппарата для проведения гипертермической интраперитонеальной химиотерапии (HIPEC) с соответствующими расходными материалами.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(взрослая, детская)" либо наличие договора на оказание лечебных услуг по ангиохирургии.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Аппарат компьютерной томографии с наличием шприцевого инжектора или аппарат магниторезонансной томографии, аппарат ультразвуковой диагностики.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Наркозно-дыхательный аппарат. Высокочастотный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повышениеи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с приставкой для травматологии и ортопедии.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Магнитно-резонансный томограф с магнитным полем не менее 1,5 тесла. Компьютерный томограф. фиксации.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о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 (или) кости при опухоли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Электрохимиотерапия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Клинико-диагностическая лаборатория. Лаборатория патоморфологии (гистология, цитология). Малый хирургический набор. Наличие аппарата для проведения электрохимиотерапии (клинипаратор) с расходными материалами, в том числе специализированный зонд.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"Травматология-ортопедия (комбустиология) (взрослая, детская)" и (или) "Пластическая хирургия" , стаж работы врачом не менее 5 лет, свидетельство о повышении квалификации по комбустиологии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Источники радиоактивного излучения -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брахитерапии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аппаратом для брахитерапии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брахитерапии с источниками Ir-192 или Co-60 с высокой мощности с дополнительными принадлежностями (аппликаторы и катетеры).</w:t>
            </w:r>
          </w:p>
          <w:p>
            <w:pPr>
              <w:spacing w:after="20"/>
              <w:ind w:left="20"/>
              <w:jc w:val="both"/>
            </w:pPr>
            <w:r>
              <w:rPr>
                <w:rFonts w:ascii="Times New Roman"/>
                <w:b w:val="false"/>
                <w:i w:val="false"/>
                <w:color w:val="000000"/>
                <w:sz w:val="20"/>
              </w:rPr>
              <w:t>
Магнитно-резонансный томограф – 1, Компьютерный томограф - 1</w:t>
            </w:r>
          </w:p>
          <w:p>
            <w:pPr>
              <w:spacing w:after="20"/>
              <w:ind w:left="20"/>
              <w:jc w:val="both"/>
            </w:pPr>
            <w:r>
              <w:rPr>
                <w:rFonts w:ascii="Times New Roman"/>
                <w:b w:val="false"/>
                <w:i w:val="false"/>
                <w:color w:val="000000"/>
                <w:sz w:val="20"/>
              </w:rPr>
              <w:t xml:space="preserve">
 Стандартный набор дозиметрического оборудования. </w:t>
            </w:r>
          </w:p>
          <w:p>
            <w:pPr>
              <w:spacing w:after="20"/>
              <w:ind w:left="20"/>
              <w:jc w:val="both"/>
            </w:pPr>
            <w:r>
              <w:rPr>
                <w:rFonts w:ascii="Times New Roman"/>
                <w:b w:val="false"/>
                <w:i w:val="false"/>
                <w:color w:val="000000"/>
                <w:sz w:val="20"/>
              </w:rPr>
              <w:t>
Компьютеризированная программа планирования.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или "Эндокринология" или "Лучевая терапия (радиационная онкология)", стаж работы по специальности не менее 3 лет, свидетельство о повышении квалификации по вопросам ядерной медицины, не менее 108 часов за последние 5 лет.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Инженер-радиохимик – специалист с высшим образованием по химии, прошедшего специализацию по радиохимии, с опытом работы не менее 3 лет. Наличие специалиста со средним медицинским образованием имеющего сертификат по специальности "Сестринское дело", прошедшего специализацию по ядерной медицине (радионуклидной терапии), с опытом работы не менее 3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Однофотонный эмиссионный компьютерный томограф, совмещенный с компьютерным томографом. Система сбора и хранения жидких радиоактивных отходов. Набор для фасовки радиофармпрепарата.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высокотехнологичных методик лучевой 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линейными (циклическими) ускорителями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Томотерапевтическая система для лучевой терапии, с возможностью лечения в спиральном режиме и при фиксированных углах гентри, оснащенная неподвижным кольцевым гентри-порталом, 6 мегавольтным моноэнергетическим линейным ускорителем, системой первичной коллимации, бинарным мультилепестковым коллиматором, подачей веерного пучка излучения, системой визуализации с детекторной системой мегавольтной компьютерной томографии высокого разрешения, дозиметрической системой планирования, панелями контроля позиционирования, системой позиционирования лазера, процедурной кушеткой с высокими характеристиками. Встроенная, полностью интегрированная система планирования и лечения. Набор иммобилизирующих приспособлений, насос для вакуумных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"Нейрохирургия", стаж работы не менее 5 лет, сертификат о прохождении обучения работе на аппарате гамма-нож в объеме не менее 108 часов. Наличие в штате не менее двух специалистов с высшим образованием по ядерной физике или медицинской физике со стажем работы по специальности не менее 3 лет, имеющего опыт работы с источниками ионизирующего излучения не менее 2 лет, сертификат о прохождении обучения работе на аппарате гамма -нож в объеме не менее 108 часов. Наличие в штате онколога либо наличие у одного из специалистов сертификата о прохождении переподготовки по медицинской специальности "Лучевая терапия" (радиационная онкология). Наличие у всех штатных специалистов сертификата о прохождении обучения работе с источниками ионизирующего излучения в объеме 54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Гамма-нож: Блок облучения; Набор радиоактивных источников – 192шт. кобальт-60 60Co; Система позиционирования пациент; Система компьютерного планирования для оконтуривания опухоли, расчета и подвода оптимальной дозы при радиохирургическом лечении, Стереотаксическая рамка для жесткой фиксации. Магнитно-резонансный томограф – 1, Компьютерный томограф – 1, Ангиограф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(по договору на оказание услуг).</w:t>
            </w:r>
          </w:p>
        </w:tc>
      </w:tr>
    </w:tbl>
    <w:p>
      <w:pPr>
        <w:spacing w:after="0"/>
        <w:ind w:left="0"/>
        <w:jc w:val="both"/>
      </w:pPr>
      <w:r>
        <w:rPr>
          <w:rFonts w:ascii="Times New Roman"/>
          <w:b w:val="false"/>
          <w:i w:val="false"/>
          <w:color w:val="000000"/>
          <w:sz w:val="28"/>
        </w:rPr>
        <w:t>
      * Проведение до и после кохлеарной реабилитации</w:t>
      </w:r>
    </w:p>
    <w:p>
      <w:pPr>
        <w:spacing w:after="0"/>
        <w:ind w:left="0"/>
        <w:jc w:val="both"/>
      </w:pPr>
      <w:r>
        <w:rPr>
          <w:rFonts w:ascii="Times New Roman"/>
          <w:b w:val="false"/>
          <w:i w:val="false"/>
          <w:color w:val="000000"/>
          <w:sz w:val="28"/>
        </w:rPr>
        <w:t>
      **Дополнительные описания к организациям здравоохранения, оказывающим услуги искусственного оплодотворения в рамках гарантированного объема бесплатной медицинской помощи и системе обязательного социального медицинского страхования:</w:t>
      </w:r>
    </w:p>
    <w:bookmarkStart w:name="z137" w:id="99"/>
    <w:p>
      <w:pPr>
        <w:spacing w:after="0"/>
        <w:ind w:left="0"/>
        <w:jc w:val="both"/>
      </w:pPr>
      <w:r>
        <w:rPr>
          <w:rFonts w:ascii="Times New Roman"/>
          <w:b w:val="false"/>
          <w:i w:val="false"/>
          <w:color w:val="000000"/>
          <w:sz w:val="28"/>
        </w:rPr>
        <w:t>
      1. продолжительность работы организации здравоохранения в области искусственного оплодотворения не менее трех лет;</w:t>
      </w:r>
    </w:p>
    <w:bookmarkEnd w:id="99"/>
    <w:bookmarkStart w:name="z138" w:id="100"/>
    <w:p>
      <w:pPr>
        <w:spacing w:after="0"/>
        <w:ind w:left="0"/>
        <w:jc w:val="both"/>
      </w:pPr>
      <w:r>
        <w:rPr>
          <w:rFonts w:ascii="Times New Roman"/>
          <w:b w:val="false"/>
          <w:i w:val="false"/>
          <w:color w:val="000000"/>
          <w:sz w:val="28"/>
        </w:rPr>
        <w:t>
      2. количество лечебных циклов искусственного оплодотворения не менее 300 циклов в год;</w:t>
      </w:r>
    </w:p>
    <w:bookmarkEnd w:id="100"/>
    <w:bookmarkStart w:name="z139" w:id="101"/>
    <w:p>
      <w:pPr>
        <w:spacing w:after="0"/>
        <w:ind w:left="0"/>
        <w:jc w:val="both"/>
      </w:pPr>
      <w:r>
        <w:rPr>
          <w:rFonts w:ascii="Times New Roman"/>
          <w:b w:val="false"/>
          <w:i w:val="false"/>
          <w:color w:val="000000"/>
          <w:sz w:val="28"/>
        </w:rPr>
        <w:t>
      3. частота наступления беременности на перенос эмбрионов – не менее 33 %;</w:t>
      </w:r>
    </w:p>
    <w:bookmarkEnd w:id="101"/>
    <w:bookmarkStart w:name="z140" w:id="102"/>
    <w:p>
      <w:pPr>
        <w:spacing w:after="0"/>
        <w:ind w:left="0"/>
        <w:jc w:val="both"/>
      </w:pPr>
      <w:r>
        <w:rPr>
          <w:rFonts w:ascii="Times New Roman"/>
          <w:b w:val="false"/>
          <w:i w:val="false"/>
          <w:color w:val="000000"/>
          <w:sz w:val="28"/>
        </w:rPr>
        <w:t>
      4. частота рождения детей на число переносов - не менее 25 %.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w:t>
            </w:r>
            <w:r>
              <w:br/>
            </w:r>
            <w:r>
              <w:rPr>
                <w:rFonts w:ascii="Times New Roman"/>
                <w:b w:val="false"/>
                <w:i w:val="false"/>
                <w:color w:val="000000"/>
                <w:sz w:val="20"/>
              </w:rPr>
              <w:t>в том числе высокотехнологичной</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03"/>
    <w:p>
      <w:pPr>
        <w:spacing w:after="0"/>
        <w:ind w:left="0"/>
        <w:jc w:val="left"/>
      </w:pPr>
      <w:r>
        <w:rPr>
          <w:rFonts w:ascii="Times New Roman"/>
          <w:b/>
          <w:i w:val="false"/>
          <w:color w:val="000000"/>
        </w:rPr>
        <w:t xml:space="preserve"> Заключение о соответствии организации здравоохранения к предоставлению высокотехнологичной медицинской помощи на период с " " 20 ____ года по " " 20 __ года.</w:t>
      </w:r>
    </w:p>
    <w:bookmarkEnd w:id="103"/>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28.12.2023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 w:id="104"/>
      <w:r>
        <w:rPr>
          <w:rFonts w:ascii="Times New Roman"/>
          <w:b w:val="false"/>
          <w:i w:val="false"/>
          <w:color w:val="000000"/>
          <w:sz w:val="28"/>
        </w:rPr>
        <w:t>
      1. Организация здравоохранения __________________________________</w:t>
      </w:r>
    </w:p>
    <w:bookmarkEnd w:id="104"/>
    <w:p>
      <w:pPr>
        <w:spacing w:after="0"/>
        <w:ind w:left="0"/>
        <w:jc w:val="both"/>
      </w:pPr>
      <w:r>
        <w:rPr>
          <w:rFonts w:ascii="Times New Roman"/>
          <w:b w:val="false"/>
          <w:i w:val="false"/>
          <w:color w:val="000000"/>
          <w:sz w:val="28"/>
        </w:rPr>
        <w:t xml:space="preserve">                                     (полное юридическое наименование)</w:t>
      </w:r>
    </w:p>
    <w:p>
      <w:pPr>
        <w:spacing w:after="0"/>
        <w:ind w:left="0"/>
        <w:jc w:val="both"/>
      </w:pPr>
      <w:bookmarkStart w:name="z144" w:id="105"/>
      <w:r>
        <w:rPr>
          <w:rFonts w:ascii="Times New Roman"/>
          <w:b w:val="false"/>
          <w:i w:val="false"/>
          <w:color w:val="000000"/>
          <w:sz w:val="28"/>
        </w:rPr>
        <w:t>
      2. Наименование оказываемого вида высокотехнологичной медицинской помощи:</w:t>
      </w:r>
    </w:p>
    <w:bookmarkEnd w:id="105"/>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Заполняется территориальным подразделением государственного органа в сфере медицинского и фармацевтического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ДСМ-238/2020</w:t>
            </w:r>
          </w:p>
        </w:tc>
      </w:tr>
    </w:tbl>
    <w:bookmarkStart w:name="z131" w:id="106"/>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Республики Казахстан</w:t>
      </w:r>
    </w:p>
    <w:bookmarkEnd w:id="106"/>
    <w:bookmarkStart w:name="z132"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14868, опубликован 27 марта 2017 года в Эталонном контрольном банке нормативных правовых актов Республики Казахстан).</w:t>
      </w:r>
    </w:p>
    <w:bookmarkEnd w:id="107"/>
    <w:bookmarkStart w:name="z133"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июля 2017 года № 469 "О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15441, опубликован 23 августа 2017 года в Эталонном контрольном банке нормативных правовых актов Республики Казахстан).</w:t>
      </w:r>
    </w:p>
    <w:bookmarkEnd w:id="108"/>
    <w:bookmarkStart w:name="z134"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2019 года № ҚР ДСМ-33 "О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18535, опубликован 19 апреля 2019 года в Эталонном контрольном банке нормативных правовых актов Республики Казахстан).</w:t>
      </w:r>
    </w:p>
    <w:bookmarkEnd w:id="109"/>
    <w:bookmarkStart w:name="z135"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Министерства здравоохранения Республики Казахстан, в которые вносятся изменения и дополнение, утвержденного приказом Министра здравоохранения Республики Казахстан от 10 апреля 2020 года № ҚР ДСМ-37/2020 "О внесении изменений и дополнения в некоторые нормативные правовые акты Министерства здравоохранения Республики Казахстан" (зарегистрирован в Реестре государственной регистрации нормативных правовых актов за № 20381, опубликован 15 апреля 2020 года в Эталонном контрольном банке нормативных правовых актов Республики Казахстан).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