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6ca4b7" w14:textId="16ca4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государственной услуги "Выдача лицензии на импорт средств защиты растений (пестицидов)"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29 сентября 2020 года № 299. Зарегистрирован в Министерстве юстиции Республики Казахстан 5 октября 2020 года № 21494.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Преамбула - в редакции приказа Министра сельского хозяйства РК от 15.05.2026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государственной услуги "Выдача лицензии на импорт средств защиты растений (пестицидов)".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ветеринарной, фитосанитарной и пищевой безопасности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двадцати одного календарного дня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сельского хозяйства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2" w:id="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торговли и интеграции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национальной экономики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инноваций и аэрокосмической промышленности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Министра сельского хозяйства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Республики Казахстан 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сентября 2020 года  № 299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государственной услуги "Выдача лицензии на импорт средств защиты растений (пестицидов)"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оказания государственной услуги "Выдача лицензии на импорт средств защиты растений (пестицидов)"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 Закона Республики Казахстан "О государственных и социально ответственных услугах" (далее – Закон о государственных и социально ответственных услугах) и определяют порядок оказания государственной услуги "Выдача лицензии на импорт средств защиты растений (пестицидов)" (далее – государственная услуга).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приказа Министра сельского хозяйства РК от 15.05.2026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средства защиты растений – пестициды, биоагенты, а также технические и другие средства, применяемые в целях защиты растений;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пестициды – химические и (или) биологические препараты (инсектициды, родентициды, фунгициды, гербициды, противовсходовые средства и регуляторы роста растений, дефолианты, десиканты), используемые для борьбы с вредными и особо опасными вредными организмами, карантинными объектами и чужеродными видами, вредителями хранящейся сельскохозяйственной продукции, а также для протравливания семян, предуборочного просушивания, удаления листьев и регулирования роста растений;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3) предусматривается в редакции приказа Министра сельского хозяйства РК от 15.05.2026 </w:t>
      </w:r>
      <w:r>
        <w:rPr>
          <w:rFonts w:ascii="Times New Roman"/>
          <w:b w:val="false"/>
          <w:i w:val="false"/>
          <w:color w:val="ff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веб-портал "электронного правительства" (далее – портал) – информационная система, представляющая собой единое окно доступа ко всей консолидированной правительственной информации, включая нормативную правовую базу, и к государственным услугам, услугам по выдаче технических условий на подключение к сетям субъектов естественных монополий и услугам субъектов квазигосударственного сектора, оказываемым в электронной форме;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Подпункт 4) предусматривается в редакции приказа Министра сельского хозяйства РК от 15.05.2026 </w:t>
      </w:r>
      <w:r>
        <w:rPr>
          <w:rFonts w:ascii="Times New Roman"/>
          <w:b w:val="false"/>
          <w:i w:val="false"/>
          <w:color w:val="ff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платежный шлюз "электронного правительства" (далее – ПШЭП) –объект информатизации, автоматизирующий процессы передачи информации о проведении платежей в рамках оказания возмездных услуг, оказываемых в электронной форме;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электронная цифровая подпись (далее – ЭЦП) –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и.о. Министра сельского хозяйства РК от 10.09.2024 </w:t>
      </w:r>
      <w:r>
        <w:rPr>
          <w:rFonts w:ascii="Times New Roman"/>
          <w:b w:val="false"/>
          <w:i w:val="false"/>
          <w:color w:val="000000"/>
          <w:sz w:val="28"/>
        </w:rPr>
        <w:t>№ 308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Импорт средств защиты растений (пестицидов), включенных в перечень товаров, в отношении которых установлен разрешительный порядок ввоза на таможенную территорию Евразийского экономического союза и (или) вывоза с таможенной территории Евразийского экономического союза, утвержденный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21 апреля 2015 года № 30 "О мерах нетарифного регулирования", осуществляется при наличии лицензии, оформленной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№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выдачи лицензий и разрешений на экспорт и (или) импорт товаров, включенных в единый перечень товаров, к которым применяются меры нетарифного регулирования в торговле с третьими странами (далее – Правила выдачи лицензий и разрешений), утвержденным Решением Совета Евразийской экономической комиссии от 24 ноября 2023 года № 125 "Об утверждении Правил выдачи лицензий и разрешений на экспорт и (или) импорт товаров, включенных в единый перечень товаров, к которым применяются меры нетарифного регулирования в торговле с третьими странами".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приказа и.о. Министра сельского хозяйства РК от 10.09.2024 </w:t>
      </w:r>
      <w:r>
        <w:rPr>
          <w:rFonts w:ascii="Times New Roman"/>
          <w:b w:val="false"/>
          <w:i w:val="false"/>
          <w:color w:val="000000"/>
          <w:sz w:val="28"/>
        </w:rPr>
        <w:t>№ 308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Комитетом государственной инспекции в агропромышленном комплексе Министерства сельского хозяйства Республики Казахстан (далее – услугодатель).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Перечень основных требований к оказанию государственной услуги "Выдача лицензии на импорт средств защиты растений (пестицидов)" указан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(далее – Перечень).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приказа Министра сельского хозяйства РК от 08.12.2023 </w:t>
      </w:r>
      <w:r>
        <w:rPr>
          <w:rFonts w:ascii="Times New Roman"/>
          <w:b w:val="false"/>
          <w:i w:val="false"/>
          <w:color w:val="000000"/>
          <w:sz w:val="28"/>
        </w:rPr>
        <w:t>№ 422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получения лицензии физическое или юридическое лицо (далее – услугополучатель) направляет услугодателю посредством портала документы, указанные в пункте 8 Перечня.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Часть 2 пункта 6 предусматривается в редакции приказа Министра сельского хозяйства РК от 15.05.2026 </w:t>
      </w:r>
      <w:r>
        <w:rPr>
          <w:rFonts w:ascii="Times New Roman"/>
          <w:b w:val="false"/>
          <w:i w:val="false"/>
          <w:color w:val="ff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документе, удостоверяющем личность физического лица, о государственной регистрации (перерегистрации) юридического лица, о регистрации индивидуального предпринимателя, либо о начале деятельности в качестве индивидуального предпринимателя, о наличии лицензии на производство (формуляцию) пестицидов, реализацию пестицидов, применение пестицидов аэрозольным или фумигационным способами, о постановке на учет в налоговом органе, об оплате в бюджет лицензионного сбора за право занятия отдельными видами деятельности (в случае оплаты через ПШЭП), услугодатель получает из государственных информационных систем через шлюз "электронного правительства".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Часть 3 пункта 6 предусматривается в редакции приказа Министра сельского хозяйства РК от 15.05.2026 </w:t>
      </w:r>
      <w:r>
        <w:rPr>
          <w:rFonts w:ascii="Times New Roman"/>
          <w:b w:val="false"/>
          <w:i w:val="false"/>
          <w:color w:val="ff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Истребование от услугополучателей документов, которые могут быть получены из информационных систем, не допускается.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Часть 4 пункта 6 предусматривается в редакции приказа Министра сельского хозяйства РК от 15.05.2026 </w:t>
      </w:r>
      <w:r>
        <w:rPr>
          <w:rFonts w:ascii="Times New Roman"/>
          <w:b w:val="false"/>
          <w:i w:val="false"/>
          <w:color w:val="ff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Информационное взаимодействие портала и информационных систем осуществляется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43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информатизации".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приказа Министра сельского хозяйства РК от 08.12.2023 </w:t>
      </w:r>
      <w:r>
        <w:rPr>
          <w:rFonts w:ascii="Times New Roman"/>
          <w:b w:val="false"/>
          <w:i w:val="false"/>
          <w:color w:val="000000"/>
          <w:sz w:val="28"/>
        </w:rPr>
        <w:t>№ 422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Общий срок оказания государственной услуги составляет 5 (пять) рабочих дней с момента регистрации документов.</w:t>
      </w:r>
    </w:p>
    <w:bookmarkEnd w:id="22"/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подаче услугополучателем всех необходимых документов через портал в "личном кабинете" услугополучателя отображается статус о принятии запроса для оказания государственной услуги, а также уведомление с указанием даты и времени получения результата государственной услуги.</w:t>
      </w:r>
    </w:p>
    <w:bookmarkEnd w:id="23"/>
    <w:bookmarkStart w:name="z15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 канцелярии услугодателя в день поступления осуществляет регистрацию документов, указанных в пункте 8 Перечня, и направляет их руководителю услугодателя, которым назначается ответственный работник.</w:t>
      </w:r>
    </w:p>
    <w:bookmarkEnd w:id="24"/>
    <w:bookmarkStart w:name="z15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документов и выдача результата оказания государственной услуги осуществляются в ближайший следующий за ним рабочий день.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8 - в редакции приказа Министра сельского хозяйства РК от 08.12.2023 </w:t>
      </w:r>
      <w:r>
        <w:rPr>
          <w:rFonts w:ascii="Times New Roman"/>
          <w:b w:val="false"/>
          <w:i w:val="false"/>
          <w:color w:val="000000"/>
          <w:sz w:val="28"/>
        </w:rPr>
        <w:t>№ 422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Ответственный работник услугодателя в течение 8 (восьми) рабочих часов с момента регистрации документов проверяет полноту представленных документов.</w:t>
      </w:r>
    </w:p>
    <w:bookmarkEnd w:id="26"/>
    <w:bookmarkStart w:name="z37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согласно перечню, предусмотренному пунктом 8 Перечня, и (или) документов с истекшим сроком действия, услугодатель отказывает в приеме заявления с указанием причины отказа.</w:t>
      </w:r>
    </w:p>
    <w:bookmarkEnd w:id="27"/>
    <w:bookmarkStart w:name="z37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предоставления услугополучателем полного пакета документов, ответственный работник услугодателя осуществляет проверку представленных документов и (или) сведений в соответствии с Правилами выдачи лицензий и разрешений. </w:t>
      </w:r>
    </w:p>
    <w:bookmarkEnd w:id="28"/>
    <w:bookmarkStart w:name="z38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итогам проверки оформляет результат оказания государственной услуги – лицензия на импорт средств защиты растений (пестицидов)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либо мотивированный отказ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9"/>
    <w:bookmarkStart w:name="z38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вынесении решения об отказе в выдаче лицензии на импорт средств защиты растений (пестицидов), ответственный работник услугодателя уведомляет услугополучателя о предварительном решении об отказе в выдаче лицензии на импорт средств защиты растений (пестицидов), а также времени и месте (способе) проведения заслушивания для возможности выразить услугополучателю позицию по предварительному решению.</w:t>
      </w:r>
    </w:p>
    <w:bookmarkEnd w:id="30"/>
    <w:bookmarkStart w:name="z38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Процедура заслушивания проводится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 (далее – АППК РК). </w:t>
      </w:r>
    </w:p>
    <w:bookmarkEnd w:id="31"/>
    <w:bookmarkStart w:name="z38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позднее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32"/>
    <w:bookmarkStart w:name="z38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услугодатель принимает решение о выдаче лицензии на импорт средств защиты растений (пестицидов) либо о мотивированном отказе в выдаче лицензии на импорт средств защиты растений (пестицидов).</w:t>
      </w:r>
    </w:p>
    <w:bookmarkEnd w:id="33"/>
    <w:bookmarkStart w:name="z38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государственной услуги направляется через портал в "личный кабинет" услугополучателя в форме электронного документа, удостоверенного ЭЦП руководителя услугодателя либо лица, исполняющего его обязанности.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9 - в редакции приказа и.о. Министра сельского хозяйства РК от 10.09.2024 </w:t>
      </w:r>
      <w:r>
        <w:rPr>
          <w:rFonts w:ascii="Times New Roman"/>
          <w:b w:val="false"/>
          <w:i w:val="false"/>
          <w:color w:val="000000"/>
          <w:sz w:val="28"/>
        </w:rPr>
        <w:t>№ 308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Владельцы лицензий в течение 15 (пятнадцати) календарных дней по истечении срока действия лицензии предоставляют услугодателю справку об исполнении лицензии на экспорт и (или) импорт товара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№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выдачи лицензий и разрешений.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приказа и.о. Министра сельского хозяйства РК от 10.09.2024 </w:t>
      </w:r>
      <w:r>
        <w:rPr>
          <w:rFonts w:ascii="Times New Roman"/>
          <w:b w:val="false"/>
          <w:i w:val="false"/>
          <w:color w:val="000000"/>
          <w:sz w:val="28"/>
        </w:rPr>
        <w:t>№ 308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Внесение изменений в выданные лицензии, в том числе по причинам технического характера, не допускается.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случае, если внесены изменения в учредительные документы услугополучателя, зарегистрированного в качестве юридического лица (изменение организационно-правовой формы, наименования либо места его нахождения), или изменены паспортные данные услугополучателя, являющегося физическим лицом, услугополучатель обращается услугодателю через портал с запросом о прекращении действия выданной лицензии и оформлении новой лицензии с приложением заявления и документов, подтверждающих указанные изменения.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выдачи лицензий и разрешений на экспорт и (или) импорт товаров (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приложению № 7 к Договору о Евразийском экономическом союзе от 29 мая 2014 года) услугодатель принимает решение о прекращении или приостановлении действия лицензии в следующих случаях: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обращение услугополучателя через портал в форме электронного документа, удостоверенного ЭЦП услугополучателя, с запросом о прекращении действия выданной лицензии;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внесение изменений в учредительные документы услугополучателя, зарегистрированного в качестве юридического лица (изменение организационно-правовой формы, наименования либо места его нахождения), или изменение паспортных данных услугополучателя, являющегося физическим лицом;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выявление недостоверных сведений в документах, представленных услугополучателем в целях получения лицензии;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прекращение или приостановление действия одного или нескольких документов, на основании которых была выдана лицензия;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нарушение при исполнении договора (контракта), на основании которого выдана лицензия, международных обязательств государства-члена;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отзыв лицензии на осуществление лицензируемого вида деятельности, если такой вид деятельности связан с оборотом товара, в отношении которого введено лицензирование;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выявление допущенных при выдаче лицензии нарушений, повлекших выдачу лицензии, которая при соблюдении установленного порядка не могла быть выдана;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несоблюдение владельцем лицензии установленных международными нормативными правовыми актами или настоящими Правилами условий выдачи лицензии;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наличие судебного решения;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невыполнение услугополучателем лицензии пункта 10 настоящих Правил.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Прекращение или приостановление действия лицензии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№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выдачи лицензий и разрешений.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приказа и.о. Министра сельского хозяйства РК от 10.09.2024 </w:t>
      </w:r>
      <w:r>
        <w:rPr>
          <w:rFonts w:ascii="Times New Roman"/>
          <w:b w:val="false"/>
          <w:i w:val="false"/>
          <w:color w:val="000000"/>
          <w:sz w:val="28"/>
        </w:rPr>
        <w:t>№ 308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Отказ в выдаче лицензии услугополучателю осуществляется по основаниям, изложенным в пункте 9 Перечня.</w:t>
      </w:r>
    </w:p>
    <w:bookmarkEnd w:id="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15 - в редакции приказа Министра сельского хозяйства РК от 08.12.2023 </w:t>
      </w:r>
      <w:r>
        <w:rPr>
          <w:rFonts w:ascii="Times New Roman"/>
          <w:b w:val="false"/>
          <w:i w:val="false"/>
          <w:color w:val="000000"/>
          <w:sz w:val="28"/>
        </w:rPr>
        <w:t>№ 422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Пункт 16 предусматривается в редакции приказа Министра сельского хозяйства РК от 15.05.2026 </w:t>
      </w:r>
      <w:r>
        <w:rPr>
          <w:rFonts w:ascii="Times New Roman"/>
          <w:b w:val="false"/>
          <w:i w:val="false"/>
          <w:color w:val="ff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12.07.2026).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 согласно подпункту 11)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о государственных услугах.</w:t>
      </w:r>
    </w:p>
    <w:bookmarkStart w:name="z165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оказании государственной услуги посредством государственной информационной системы разрешений и уведомлений данные о стадии оказания государственной услуги поступают в автоматическом режиме в информационную систему мониторинга оказания государственных услуг.</w:t>
      </w:r>
    </w:p>
    <w:bookmarkEnd w:id="51"/>
    <w:bookmarkStart w:name="z166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области защиты растений (далее – уполномоченный орган) направляет информацию о внесенных изменениях и (или) дополнениях в настоящие Правила оператору информационно-коммуникационной инфраструктуры "электронного правительства".</w:t>
      </w:r>
    </w:p>
    <w:bookmarkEnd w:id="52"/>
    <w:bookmarkStart w:name="z16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 течение 3 (трех) рабочих дней с даты изменения Правил актуализирует информацию о порядке оказания государственной услуги и направляет в Единый контакт-центр.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16 - в редакции приказа Министра сельского хозяйства РК от 08.12.2023 </w:t>
      </w:r>
      <w:r>
        <w:rPr>
          <w:rFonts w:ascii="Times New Roman"/>
          <w:b w:val="false"/>
          <w:i w:val="false"/>
          <w:color w:val="000000"/>
          <w:sz w:val="28"/>
        </w:rPr>
        <w:t>№ 422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9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услугодателей и (или) их должностных лиц по вопросам оказания государственных услуг</w:t>
      </w:r>
    </w:p>
    <w:bookmarkEnd w:id="54"/>
    <w:bookmarkStart w:name="z60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Жалоба на решение, действие (бездействие) услугодателя по вопросам оказания государственных услуг подается на имя руководителя услугодателя, уполномоченного органа, в уполномоченный орган по оценке и контролю за качеством оказания государственных услуг и подлежит рассмотрению в сроки,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18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55"/>
    <w:bookmarkStart w:name="z16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поступления жалобы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 РК, услугодатель, должностное лицо, чье решение, действие (бездействие) обжалуются, не позднее трех рабочих дней со дня поступления жалобы направляют ее и административное дело в орган, рассматривающий жалобу. Услугодатель, должностное лицо, чьи административный акт, административное действие (бездействие) обжалуются, вправе не направлять жалобу в орган, рассматривающий жалобу, если он в течение 3 (трех) рабочих дней примет благоприятный административный акт, совершит административное действие, полностью удовлетворяющие требования, указанные в жалобе.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17 - в редакции приказа Министра сельского хозяйства РК от 08.12.2023 </w:t>
      </w:r>
      <w:r>
        <w:rPr>
          <w:rFonts w:ascii="Times New Roman"/>
          <w:b w:val="false"/>
          <w:i w:val="false"/>
          <w:color w:val="000000"/>
          <w:sz w:val="28"/>
        </w:rPr>
        <w:t>№ 422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1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Жалоба услугополучателя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и социально ответственных услугах подлежит рассмотрению:</w:t>
      </w:r>
    </w:p>
    <w:bookmarkEnd w:id="57"/>
    <w:bookmarkStart w:name="z62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услугодателем, уполномоченным органом – в течение 5 (пяти) рабочих дней со дня ее регистрации;</w:t>
      </w:r>
    </w:p>
    <w:bookmarkEnd w:id="58"/>
    <w:bookmarkStart w:name="z63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уполномоченным органом по оценке и контролю за качеством оказания государственных услуг – в течение 15 (пятнадцати) рабочих дней со дня ее регистрации.</w:t>
      </w:r>
    </w:p>
    <w:bookmarkEnd w:id="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18 с изменением, внесенным приказом Министра сельского хозяйства РК от 15.05.2026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4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Срок рассмотрения жалобы услугодателем, уполномоченным органом, уполномоченным органом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о государственных и социально ответственных услугах продлевается не более чем на 10 (десять) рабочих дней в случаях необходимости:</w:t>
      </w:r>
    </w:p>
    <w:bookmarkEnd w:id="60"/>
    <w:bookmarkStart w:name="z65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61"/>
    <w:bookmarkStart w:name="z66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62"/>
    <w:bookmarkStart w:name="z67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3 (трех)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услугополучателю, подавшему жалобу, о продлении срока рассмотрения жалобы с указанием причин продления.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19 с изменением, внесенным приказом Министра сельского хозяйства РК от 15.05.2026 </w:t>
      </w:r>
      <w:r>
        <w:rPr>
          <w:rFonts w:ascii="Times New Roman"/>
          <w:b w:val="false"/>
          <w:i w:val="false"/>
          <w:color w:val="00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Если иное не предусмотрено законом, обращение в суд допускается после обжалования в досудебном порядке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91 АППК РК.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20 - в редакции приказа Министра сельского хозяйства РК от 04.05.2022 </w:t>
      </w:r>
      <w:r>
        <w:rPr>
          <w:rFonts w:ascii="Times New Roman"/>
          <w:b w:val="false"/>
          <w:i w:val="false"/>
          <w:color w:val="000000"/>
          <w:sz w:val="28"/>
        </w:rPr>
        <w:t>№ 137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импорт средств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растений (пестицидов)"</w:t>
            </w:r>
          </w:p>
        </w:tc>
      </w:tr>
    </w:tbl>
    <w:bookmarkStart w:name="z70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основных требований к оказанию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лицензии на импорт средств защиты растений (пестицидов)"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и.о. Министра сельского хозяйства РК от 10.09.2024 </w:t>
      </w:r>
      <w:r>
        <w:rPr>
          <w:rFonts w:ascii="Times New Roman"/>
          <w:b w:val="false"/>
          <w:i w:val="false"/>
          <w:color w:val="ff0000"/>
          <w:sz w:val="28"/>
        </w:rPr>
        <w:t>№ 308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опубликования); с изменениями, внесенными приказами Министра сельского хозяйства РК от 19.09.2025 </w:t>
      </w:r>
      <w:r>
        <w:rPr>
          <w:rFonts w:ascii="Times New Roman"/>
          <w:b w:val="false"/>
          <w:i w:val="false"/>
          <w:color w:val="ff0000"/>
          <w:sz w:val="28"/>
        </w:rPr>
        <w:t>№ 310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01.01.2026); от 15.05.2026 </w:t>
      </w:r>
      <w:r>
        <w:rPr>
          <w:rFonts w:ascii="Times New Roman"/>
          <w:b w:val="false"/>
          <w:i w:val="false"/>
          <w:color w:val="ff0000"/>
          <w:sz w:val="28"/>
        </w:rPr>
        <w:t>№ 191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Комитетом государственной инспекции в агропромышленном комплексе Министерства сельского хозяйства Республики Казахстан (далее – услугодатель).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Примечание ИЗПИ!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Строка 2 предусматривается в редакции приказа Министра сельского хозяйства РК от 15.05.2026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191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 12.07.2026).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веб-портал "электронного правительства" www.egov.kz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(пять)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(частично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Лицензия на импорт средств защиты растений (пестицидов), либо мотивированный отказ в оказании государственной услуги.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Примечание ИЗПИ!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Строка 6 предусматривается в редакции приказа Министра сельского хозяйства РК от 15.05.2026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191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 12.07.2026).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услуга оказывается услугополучателям на платной основе.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 оказании государственной услуги в бюджет по месту нахождения услугополучателя уплачивается лицензионный сбор за выдачу лицензии на занятие отдельными видами деятельности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4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616 Налогового кодекса Республики Казахстан, который составляет 10 (десять) месячных расчетных показателей.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лицензионного сбора осуществляется в наличной и безналичной форме через банки второго уровня и организации, осуществляющие отдельные виды банковских операций, а также в безналичной форме через платежный шлюз "электронного правительства" (далее – ПШЭП).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услугодателя – с понедельника по пятницу включительно, с 8.00 до 17.30 часов, с перерывом на обед с 13.00 до 14.30 часов, за исключением выходных и праздничных дней согласно трудовому законодательству Республики Казахстан;</w:t>
            </w:r>
          </w:p>
          <w:bookmarkEnd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портала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осуществляются следующим рабочим днем).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мест оказания государственной услуги размещены на официальном интернет-ресурсе услугодателя – www.gov.kz.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Примечание ИЗПИ!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Строка 8 предусматривается в редакции приказа Министра сельского хозяйства РК от 15.05.2026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191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 12.07.2026).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на выдачу лицензии на импорт средств защиты растений (пестицидов) по форме согласно приложению к настоящему Перечню в форме электронного документа, удостоверенного электронной цифровой подписью услугополучателя;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документа, подтверждающего оплату в бюджет лицензионного сбора за право занятия отдельными видами деятельности, за исключением случаев оплаты через ПШЭП;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внешнеторгового договора (контракта), приложения и (или) дополнения к нему (для разовой лицензии), а в случае отсутствия внешнеторгового договора (контракта) – копия иного документа, подтверждающего намерения сторон;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электронная копия документов, подтверждающих соответствие услугополучателя квалификационным требованиям,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национальной экономики Республики Казахстан от 30 января 2015 года № 67 "Об утверждении квалификационных требований, предъявляемых к деятельности по лицензированию экспорта и импорта товаров, перечня документов, подтверждающих соответствие им, форм заявлений для получения лицензии и (или) приложения к лицензии, форм лицензий и (или) приложения к лицензии" (зарегистрирован в Реестре государственной регистрации нормативных правовых актов № 11074) (далее – Приказ № 67).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документе, удостоверяющем личность физического лица, о государственной регистрации (перерегистрации) юридического лица, о регистрации индивидуального предпринимателя, либо о начале деятельности в качестве индивидуального предпринимателя, о наличии лицензии на производство (формуляцию) пестицидов, реализацию пестицидов, применение пестицидов аэрозольным или фумигационным способами, о постановке на учет в налоговом органе, об оплате в бюджет лицензионного сбора за право занятия отдельными видами деятельности (в случае оплаты через ПШЭП), услугодатель получает из государственных информационных систем через шлюз "электронного правительства".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наличие неполной или недостоверной информации в документах (сведениях), представленных услугополучателем для получения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несоблюдение требований, предусмотренных пунктами 10, 11, 12 и 22 Правил выдачи лицензий и разрешений на экспорт и (или) импорт товаров, включенных в единый перечень товаров, к которым применяются меры нетарифного регулирования в торговле с третьими странами, утвержденных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Совета Евразийской экономической комиссии от 24 ноября 2023 года № 125 "Об утверждении Правил выдачи лицензий и разрешений на экспорт и (или) импорт товаров, включенных в единый перечень товаров, к которым применяются меры нетарифного регулирования в торговле с третьими странами";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прекращение или приостановление действия одного или нескольких документов, служащих основанием для выдачи (оформления) лицензии;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нарушение международных обязательств государств-членов, которое может наступить вследствие исполнения договора (контракта), для реализации которого запрашивается лицензия;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исчерпание импортной квоты в качестве количественных ограничений импорта, импортной или специальной квоты в качестве специальной защитной меры, а также тарифной квоты либо их отсутствие (в случае оформления лицензии на квотируемые товары);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6) занятие видом деятельности запрещено законами Республики Казахстан для услугополучателя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подпунктом 1)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пункта 1 статьи 32 Закона Республики Казахстан "О разрешениях и уведомлениях";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7) не внесен лицензионный сбор;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8) услугополучатель не соответствует квалификационным требованиям, установленным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№ 67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9) в отношении услугополучателя имеется вступившее в законную силу решение (приговор) суда о приостановлении или запрещении деятельности или отдельных видов деятельности, подлежащих лицензированию;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10) судом на основании представления судебного исполнителя временно запрещено выдавать услугополучателю-должнику лицензию;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11) установлена недостоверность документов, представленных услугополучателем для получения лицензии, и (или) данных (сведений), содержащихся в них.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Примечание ИЗПИ!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Строка 10 предусматривается в редакции приказа Министра сельского хозяйства РК от 15.05.2026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191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 (вводится в действие с 12.07.2026).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услуг: 1414, 8 800 080 77 77.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Контактные телефоны справочных служб по вопросам оказания государственной услуги размещены на интернет-ресурсе Министерства сельского хозяйства Республики Казахстан: www.gov.kz.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 цифровых документов доступен для субъектов, авторизованных в мобильном приложении и информационных системах пользователей.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использования цифрового документа необходимо пройти авторизацию методами доступными в мобильном приложении и информационных системах пользователей, далее в разделе "Цифровые документы" просматривает необходимый документ для дальнейшего использования.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основных требований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оказанию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 на импорт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(пестицидов)"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32" w:id="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выдачу лицензии на импорт средств защиты растений (пестицидов)</w:t>
      </w:r>
    </w:p>
    <w:bookmarkEnd w:id="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Заявление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Период действия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по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 лицензии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Контракт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Заявитель|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Продавец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Страна отправления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Страна продавца |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Валюта контракта |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Стоимость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11.Статистическая стоимость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Страна происхождения |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Количество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14. Единица измерения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Код товара по единой товарной номенклатуре внешнеэкономической деятельности Евразийского экономического союза и его описание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Основание для выдачи лицензии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Уполномоченное лицо заявителя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заявлению на выдачу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лицензии на импорт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 защиты растений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(пестицидов)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заявлению № от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листов Лист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Уполномоченное лицо заявителя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"Выдача лицензии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импорт средств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растений (пестицидов)"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16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Лицензия на импорт средств защиты растений (пестицидов)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и.о. Министра сельского хозяйства РК от 10.09.2024 </w:t>
      </w:r>
      <w:r>
        <w:rPr>
          <w:rFonts w:ascii="Times New Roman"/>
          <w:b w:val="false"/>
          <w:i w:val="false"/>
          <w:color w:val="ff0000"/>
          <w:sz w:val="28"/>
        </w:rPr>
        <w:t>№ 308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Лицензия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Период действия с по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Тип лицензии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|ИМПОРТ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Контракт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от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Заявитель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Продавец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Страна отправления |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Страна продавца |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Валюта контракта |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Стоимость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Статистическая стоимость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Страна происхождения |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Количество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Код товара по единой товарной номенклатуре внешнеэкономической деятельности Евразийского экономического союза и его описание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Дополнительная информация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Основание для выдачи лицензии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Уполномоченное лицо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лицензии средств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растений (пестицидов)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Уполномоченный орган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к лицензии № от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товара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листов Лист 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Уполномоченное лицо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Правилам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оказания государственной 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"Выдача лицензии на импорт средств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защиты растений (пестицидов)"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300"/>
      </w:tblGrid>
      <w:tr>
        <w:trPr>
          <w:trHeight w:val="30" w:hRule="atLeast"/>
        </w:trPr>
        <w:tc>
          <w:tcPr>
            <w:tcW w:w="123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Форма </w:t>
            </w:r>
          </w:p>
          <w:bookmarkEnd w:id="69"/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300"/>
            </w:tblGrid>
            <w:tr>
              <w:trPr>
                <w:trHeight w:val="30" w:hRule="atLeast"/>
              </w:trPr>
              <w:tc>
                <w:tcPr>
                  <w:tcW w:w="123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tbl>
                  <w:tblPr>
                    <w:tblW w:w="0" w:type="auto"/>
                    <w:tblCellSpacing w:w="0" w:type="auto"/>
                    <w:tblBorders>
                      <w:top w:val="none"/>
                      <w:left w:val="none"/>
                      <w:bottom w:val="none"/>
                      <w:right w:val="none"/>
                      <w:insideH w:val="none"/>
                      <w:insideV w:val="none"/>
                    </w:tblBorders>
                    <w:tblLayout w:type="fixed"/>
                  </w:tblPr>
                  <w:tblGrid>
                    <w:gridCol w:w="2460"/>
                    <w:gridCol w:w="2460"/>
                    <w:gridCol w:w="2460"/>
                    <w:gridCol w:w="2460"/>
                    <w:gridCol w:w="2460"/>
                  </w:tblGrid>
                  <w:tr>
                    <w:trPr>
                      <w:trHeight w:val="30" w:hRule="atLeast"/>
                    </w:trPr>
                    <w:tc>
                      <w:tcPr>
                        <w:tcW w:w="2460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[Наименование уполномоченного органа]</w:t>
                        </w:r>
                      </w:p>
                    </w:tc>
                    <w:tc>
                      <w:tcPr>
                        <w:tcW w:w="2460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bookmarkStart w:name="z138" w:id="70"/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bookmarkEnd w:id="70"/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drawing>
                            <wp:inline distT="0" distB="0" distL="0" distR="0">
                              <wp:extent cx="1358900" cy="1219200"/>
                              <wp:effectExtent l="0" t="0" r="0" b="0"/>
                              <wp:docPr id="0" name="" descr=""/>
                              <wp:cNvGraphicFramePr>
                                <a:graphicFrameLocks noChangeAspect="true"/>
                              </wp:cNvGraphicFramePr>
                              <a:graphic>
                                <a:graphicData uri="http://schemas.openxmlformats.org/drawingml/2006/picture">
                                  <pic:pic>
                                    <pic:nvPicPr>
                                      <pic:cNvPr id="1" name=""/>
                                      <pic:cNvPicPr/>
                                    </pic:nvPicPr>
                                    <pic:blipFill>
                                      <a:blip r:embed="rId4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358900" cy="121920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
[Наименование уполномоченного органа]</w:t>
                        </w:r>
                      </w:p>
                    </w:tc>
                    <w:tc>
                      <w:tcPr>
                        <w:tcW w:w="2460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  <w:tc>
                      <w:tcPr>
                        <w:tcW w:w="2460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</w:tc>
                  </w:tr>
                </w:tbl>
                <w:p/>
                <w:bookmarkStart w:name="z139" w:id="71"/>
                <w:p>
                  <w:pPr>
                    <w:spacing w:after="20"/>
                    <w:ind w:left="20"/>
                    <w:jc w:val="both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Мотивированный отказ</w:t>
                  </w:r>
                </w:p>
                <w:bookmarkEnd w:id="71"/>
                <w:tbl>
                  <w:tblPr>
                    <w:tblW w:w="0" w:type="auto"/>
                    <w:tblCellSpacing w:w="0" w:type="auto"/>
                    <w:tblBorders>
                      <w:top w:val="none"/>
                      <w:left w:val="none"/>
                      <w:bottom w:val="none"/>
                      <w:right w:val="none"/>
                      <w:insideH w:val="none"/>
                      <w:insideV w:val="none"/>
                    </w:tblBorders>
                  </w:tblPr>
                  <w:tblGrid>
                    <w:gridCol w:w="7780"/>
                    <w:gridCol w:w="4600"/>
                  </w:tblGrid>
                  <w:tr>
                    <w:trPr>
                      <w:trHeight w:val="30" w:hRule="atLeast"/>
                    </w:trPr>
                    <w:tc>
                      <w:tcPr>
                        <w:tcW w:w="7780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center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 </w:t>
                        </w:r>
                      </w:p>
                    </w:tc>
                    <w:tc>
                      <w:tcPr>
                        <w:tcW w:w="4600" w:type="dxa"/>
                        <w:tcBorders/>
                        <w:tcMar>
                          <w:top w:w="15" w:type="dxa"/>
                          <w:left w:w="15" w:type="dxa"/>
                          <w:bottom w:w="15" w:type="dxa"/>
                          <w:right w:w="15" w:type="dxa"/>
                        </w:tcMar>
                        <w:vAlign w:val="center"/>
                      </w:tcPr>
                      <w:p>
                        <w:pPr>
                          <w:spacing w:after="0"/>
                          <w:ind w:left="0"/>
                          <w:jc w:val="center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Дата выдачи: [Дата выдачи]</w:t>
                        </w: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[Наименование услугополучателя]</w:t>
                        </w: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Место регистрации:</w:t>
                        </w: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Область: [Область]</w:t>
                        </w: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Район: [Район]</w:t>
                        </w: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Город\населенный пункт: [Город/населенный пункт]</w:t>
                        </w: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[индивидуальный идентификационный номер /</w:t>
                        </w: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бизнес-идентификационный номер] [БИН/ИИН]</w:t>
                        </w: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Дата государственной регистрации от [Дата]</w:t>
                        </w: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Причина отказа: [Причина отказа]</w:t>
                        </w: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 xml:space="preserve">[Должность подписывающего] [Фамилия, имя, отчество </w:t>
                        </w:r>
                      </w:p>
                      <w:p>
                        <w:pPr>
                          <w:spacing w:after="20"/>
                          <w:ind w:left="20"/>
                          <w:jc w:val="both"/>
                        </w:pPr>
                        <w:r>
                          <w:rPr>
                            <w:rFonts w:ascii="Times New Roman"/>
                            <w:b w:val="false"/>
                            <w:i w:val="false"/>
                            <w:color w:val="000000"/>
                            <w:sz w:val="20"/>
                          </w:rPr>
                          <w:t>(при его наличии) подписывающего]</w:t>
                        </w:r>
                      </w:p>
                      <w:p>
                        <w:pPr>
                          <w:spacing w:after="0"/>
                          <w:ind w:left="0"/>
                          <w:jc w:val="center"/>
                        </w:pPr>
                      </w:p>
                    </w:tc>
                  </w:tr>
                </w:tbl>
                <w:p/>
                <w:bookmarkStart w:name="z151" w:id="72"/>
                <w:p>
                  <w:pPr>
                    <w:spacing w:after="20"/>
                    <w:ind w:left="20"/>
                    <w:jc w:val="both"/>
                  </w:pPr>
                </w:p>
                <w:bookmarkEnd w:id="72"/>
                <w:p>
                  <w:pPr>
                    <w:spacing w:after="20"/>
                    <w:ind w:left="20"/>
                    <w:jc w:val="both"/>
                  </w:pPr>
                  <w:r>
                    <w:drawing>
                      <wp:inline distT="0" distB="0" distL="0" distR="0">
                        <wp:extent cx="5651500" cy="1447800"/>
                        <wp:effectExtent l="0" t="0" r="0" b="0"/>
                        <wp:docPr id="0" name="" descr=""/>
                        <wp:cNvGraphicFramePr>
                          <a:graphicFrameLocks noChangeAspect="true"/>
                        </wp:cNvGraphicFramePr>
                        <a:graphic>
                          <a:graphicData uri="http://schemas.openxmlformats.org/drawingml/2006/picture">
                            <pic:pic>
                              <pic:nvPicPr>
                                <pic:cNvPr id="1" name=""/>
                                <pic:cNvPicPr/>
                              </pic:nvPicPr>
                              <pic:blipFill>
                                <a:blip r:embed="rId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651500" cy="14478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  <w:p>
                  <w:pPr>
                    <w:spacing w:after="20"/>
                    <w:ind w:left="20"/>
                    <w:jc w:val="both"/>
                  </w:pPr>
                </w:p>
              </w:tc>
            </w:tr>
          </w:tbl>
          <w:p/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5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подписывающего] [Фамилия, имя, отчество (при его наличии) подписывающего]</w:t>
      </w:r>
    </w:p>
    <w:bookmarkEnd w:id="7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