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d911" w14:textId="d5cd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w:t>
      </w:r>
    </w:p>
    <w:p>
      <w:pPr>
        <w:spacing w:after="0"/>
        <w:ind w:left="0"/>
        <w:jc w:val="both"/>
      </w:pPr>
      <w:r>
        <w:rPr>
          <w:rFonts w:ascii="Times New Roman"/>
          <w:b w:val="false"/>
          <w:i w:val="false"/>
          <w:color w:val="000000"/>
          <w:sz w:val="28"/>
        </w:rPr>
        <w:t>Приказ Министра финансов Республики Казахстан от 19 октября 2020 года № 1025. Зарегистрирован в Министерстве юстиции Республики Казахстан 22 октября 2020 года № 21476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 (зарегистрирован в Реестре государственной регистрации нормативных правовых актов под № 16878, опубликован 22 мая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внутреннего государственного аудита и финансового контроля "Оценка эффективности деятельности служб внутреннего аудита",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Стандарт определяет цели и способы оценки эффективности деятельности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создаваемых по усмотрению первого руководителя в рамках штатной численности (далее – СВА), порядок составления программы повышения качества внутреннего государственного аудита, за исключением службы внутреннего аудита Национального Банка Республики Казахстан и специальных государственных органов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"48. В соответствии с требованиями международных стандартов аудита руководитель СВА либо лицо, его замещающее, разрабатывает и утверждает программу повышения качества внутреннего государственного аудита (далее – программа)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 не позднее 1 февраля финансового года, следующего за отчетным, которая учитывает результаты оценок СВА и уполномоченного органа.";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2" w:id="5"/>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(Бектурова А.Т.) в установленном законодательством порядке обеспечить:</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5"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6"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Счетный комитет по контролю за исполнением</w:t>
      </w:r>
      <w:r>
        <w:br/>
      </w:r>
      <w:r>
        <w:rPr>
          <w:rFonts w:ascii="Times New Roman"/>
          <w:b w:val="false"/>
          <w:i w:val="false"/>
          <w:color w:val="000000"/>
          <w:sz w:val="28"/>
        </w:rPr>
        <w:t>республиканского бюджета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2020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w:t>
            </w:r>
          </w:p>
        </w:tc>
      </w:tr>
    </w:tbl>
    <w:bookmarkStart w:name="z21" w:id="11"/>
    <w:p>
      <w:pPr>
        <w:spacing w:after="0"/>
        <w:ind w:left="0"/>
        <w:jc w:val="left"/>
      </w:pPr>
      <w:r>
        <w:rPr>
          <w:rFonts w:ascii="Times New Roman"/>
          <w:b/>
          <w:i w:val="false"/>
          <w:color w:val="000000"/>
        </w:rPr>
        <w:t xml:space="preserve"> Критерии оценки эффективности деятельности службы внутреннего аудита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5951"/>
        <w:gridCol w:w="3712"/>
        <w:gridCol w:w="2190"/>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ежегодными аудитами объектов государственного аудита с высоким уровнем риска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Процент охвата объектов государственного аудита с высоким риском к общему количеству государственного аудита в текущем году:</w:t>
            </w:r>
            <w:r>
              <w:br/>
            </w:r>
            <w:r>
              <w:rPr>
                <w:rFonts w:ascii="Times New Roman"/>
                <w:b w:val="false"/>
                <w:i w:val="false"/>
                <w:color w:val="000000"/>
                <w:sz w:val="20"/>
              </w:rPr>
              <w:t>
</w:t>
            </w:r>
            <w:r>
              <w:rPr>
                <w:rFonts w:ascii="Times New Roman"/>
                <w:b w:val="false"/>
                <w:i w:val="false"/>
                <w:color w:val="000000"/>
                <w:sz w:val="20"/>
              </w:rPr>
              <w:t>20% – 29% включительно;</w:t>
            </w:r>
            <w:r>
              <w:br/>
            </w:r>
            <w:r>
              <w:rPr>
                <w:rFonts w:ascii="Times New Roman"/>
                <w:b w:val="false"/>
                <w:i w:val="false"/>
                <w:color w:val="000000"/>
                <w:sz w:val="20"/>
              </w:rPr>
              <w:t>
</w:t>
            </w:r>
            <w:r>
              <w:rPr>
                <w:rFonts w:ascii="Times New Roman"/>
                <w:b w:val="false"/>
                <w:i w:val="false"/>
                <w:color w:val="000000"/>
                <w:sz w:val="20"/>
              </w:rPr>
              <w:t>30 – 39% включительно;</w:t>
            </w:r>
            <w:r>
              <w:br/>
            </w:r>
            <w:r>
              <w:rPr>
                <w:rFonts w:ascii="Times New Roman"/>
                <w:b w:val="false"/>
                <w:i w:val="false"/>
                <w:color w:val="000000"/>
                <w:sz w:val="20"/>
              </w:rPr>
              <w:t>
40% включительно и более; менее 19 % включительно</w:t>
            </w:r>
          </w:p>
          <w:bookmarkEnd w:id="12"/>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5 баллов</w:t>
            </w:r>
            <w:r>
              <w:br/>
            </w:r>
            <w:r>
              <w:rPr>
                <w:rFonts w:ascii="Times New Roman"/>
                <w:b w:val="false"/>
                <w:i w:val="false"/>
                <w:color w:val="000000"/>
                <w:sz w:val="20"/>
              </w:rPr>
              <w:t>
- 5 баллов</w:t>
            </w:r>
          </w:p>
          <w:bookmarkEnd w:id="13"/>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в общем количестве рекомендаций, принятых по итогам государственного аудита  (с наступившими сроками исполнения)</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w:t>
            </w:r>
            <w:r>
              <w:br/>
            </w:r>
            <w:r>
              <w:rPr>
                <w:rFonts w:ascii="Times New Roman"/>
                <w:b w:val="false"/>
                <w:i w:val="false"/>
                <w:color w:val="000000"/>
                <w:sz w:val="20"/>
              </w:rPr>
              <w:t>
</w:t>
            </w:r>
            <w:r>
              <w:rPr>
                <w:rFonts w:ascii="Times New Roman"/>
                <w:b w:val="false"/>
                <w:i w:val="false"/>
                <w:color w:val="000000"/>
                <w:sz w:val="20"/>
              </w:rPr>
              <w:t>70% – 79% включительно;</w:t>
            </w:r>
            <w:r>
              <w:br/>
            </w:r>
            <w:r>
              <w:rPr>
                <w:rFonts w:ascii="Times New Roman"/>
                <w:b w:val="false"/>
                <w:i w:val="false"/>
                <w:color w:val="000000"/>
                <w:sz w:val="20"/>
              </w:rPr>
              <w:t>
</w:t>
            </w:r>
            <w:r>
              <w:rPr>
                <w:rFonts w:ascii="Times New Roman"/>
                <w:b w:val="false"/>
                <w:i w:val="false"/>
                <w:color w:val="000000"/>
                <w:sz w:val="20"/>
              </w:rPr>
              <w:t>80% – 89% включительно;</w:t>
            </w:r>
            <w:r>
              <w:br/>
            </w:r>
            <w:r>
              <w:rPr>
                <w:rFonts w:ascii="Times New Roman"/>
                <w:b w:val="false"/>
                <w:i w:val="false"/>
                <w:color w:val="000000"/>
                <w:sz w:val="20"/>
              </w:rPr>
              <w:t>
90% включительно и более; менее 69% включительно</w:t>
            </w:r>
          </w:p>
          <w:bookmarkEnd w:id="14"/>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5 баллов</w:t>
            </w:r>
            <w:r>
              <w:br/>
            </w:r>
            <w:r>
              <w:rPr>
                <w:rFonts w:ascii="Times New Roman"/>
                <w:b w:val="false"/>
                <w:i w:val="false"/>
                <w:color w:val="000000"/>
                <w:sz w:val="20"/>
              </w:rPr>
              <w:t>
</w:t>
            </w:r>
            <w:r>
              <w:rPr>
                <w:rFonts w:ascii="Times New Roman"/>
                <w:b w:val="false"/>
                <w:i w:val="false"/>
                <w:color w:val="000000"/>
                <w:sz w:val="20"/>
              </w:rPr>
              <w:t>10 баллов</w:t>
            </w:r>
            <w:r>
              <w:br/>
            </w:r>
            <w:r>
              <w:rPr>
                <w:rFonts w:ascii="Times New Roman"/>
                <w:b w:val="false"/>
                <w:i w:val="false"/>
                <w:color w:val="000000"/>
                <w:sz w:val="20"/>
              </w:rPr>
              <w:t>
- 5 баллов</w:t>
            </w:r>
          </w:p>
          <w:bookmarkEnd w:id="15"/>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(восстановление) средств по итогам государственного аудита и финансового контроля</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Доля возмещенных и восстановленных средств в общем объеме средств, подлежащих возмещению и восстановлению по итогам аудиторских мероприятий, с наступившими сроками исполнения:</w:t>
            </w:r>
            <w:r>
              <w:br/>
            </w:r>
            <w:r>
              <w:rPr>
                <w:rFonts w:ascii="Times New Roman"/>
                <w:b w:val="false"/>
                <w:i w:val="false"/>
                <w:color w:val="000000"/>
                <w:sz w:val="20"/>
              </w:rPr>
              <w:t>
</w:t>
            </w:r>
            <w:r>
              <w:rPr>
                <w:rFonts w:ascii="Times New Roman"/>
                <w:b w:val="false"/>
                <w:i w:val="false"/>
                <w:color w:val="000000"/>
                <w:sz w:val="20"/>
              </w:rPr>
              <w:t>0% – 9% включительно;</w:t>
            </w:r>
            <w:r>
              <w:br/>
            </w:r>
            <w:r>
              <w:rPr>
                <w:rFonts w:ascii="Times New Roman"/>
                <w:b w:val="false"/>
                <w:i w:val="false"/>
                <w:color w:val="000000"/>
                <w:sz w:val="20"/>
              </w:rPr>
              <w:t>
</w:t>
            </w:r>
            <w:r>
              <w:rPr>
                <w:rFonts w:ascii="Times New Roman"/>
                <w:b w:val="false"/>
                <w:i w:val="false"/>
                <w:color w:val="000000"/>
                <w:sz w:val="20"/>
              </w:rPr>
              <w:t>10% –19% включительно;</w:t>
            </w:r>
            <w:r>
              <w:br/>
            </w:r>
            <w:r>
              <w:rPr>
                <w:rFonts w:ascii="Times New Roman"/>
                <w:b w:val="false"/>
                <w:i w:val="false"/>
                <w:color w:val="000000"/>
                <w:sz w:val="20"/>
              </w:rPr>
              <w:t>
</w:t>
            </w:r>
            <w:r>
              <w:rPr>
                <w:rFonts w:ascii="Times New Roman"/>
                <w:b w:val="false"/>
                <w:i w:val="false"/>
                <w:color w:val="000000"/>
                <w:sz w:val="20"/>
              </w:rPr>
              <w:t>20% – 29% включительно;</w:t>
            </w:r>
            <w:r>
              <w:br/>
            </w:r>
            <w:r>
              <w:rPr>
                <w:rFonts w:ascii="Times New Roman"/>
                <w:b w:val="false"/>
                <w:i w:val="false"/>
                <w:color w:val="000000"/>
                <w:sz w:val="20"/>
              </w:rPr>
              <w:t>
</w:t>
            </w:r>
            <w:r>
              <w:rPr>
                <w:rFonts w:ascii="Times New Roman"/>
                <w:b w:val="false"/>
                <w:i w:val="false"/>
                <w:color w:val="000000"/>
                <w:sz w:val="20"/>
              </w:rPr>
              <w:t>30% – 39% включительно;</w:t>
            </w:r>
            <w:r>
              <w:br/>
            </w:r>
            <w:r>
              <w:rPr>
                <w:rFonts w:ascii="Times New Roman"/>
                <w:b w:val="false"/>
                <w:i w:val="false"/>
                <w:color w:val="000000"/>
                <w:sz w:val="20"/>
              </w:rPr>
              <w:t>
</w:t>
            </w:r>
            <w:r>
              <w:rPr>
                <w:rFonts w:ascii="Times New Roman"/>
                <w:b w:val="false"/>
                <w:i w:val="false"/>
                <w:color w:val="000000"/>
                <w:sz w:val="20"/>
              </w:rPr>
              <w:t>40% – 49% включительно;</w:t>
            </w:r>
            <w:r>
              <w:br/>
            </w:r>
            <w:r>
              <w:rPr>
                <w:rFonts w:ascii="Times New Roman"/>
                <w:b w:val="false"/>
                <w:i w:val="false"/>
                <w:color w:val="000000"/>
                <w:sz w:val="20"/>
              </w:rPr>
              <w:t>
</w:t>
            </w:r>
            <w:r>
              <w:rPr>
                <w:rFonts w:ascii="Times New Roman"/>
                <w:b w:val="false"/>
                <w:i w:val="false"/>
                <w:color w:val="000000"/>
                <w:sz w:val="20"/>
              </w:rPr>
              <w:t>50% – 59% включительно;</w:t>
            </w:r>
            <w:r>
              <w:br/>
            </w:r>
            <w:r>
              <w:rPr>
                <w:rFonts w:ascii="Times New Roman"/>
                <w:b w:val="false"/>
                <w:i w:val="false"/>
                <w:color w:val="000000"/>
                <w:sz w:val="20"/>
              </w:rPr>
              <w:t>
</w:t>
            </w:r>
            <w:r>
              <w:rPr>
                <w:rFonts w:ascii="Times New Roman"/>
                <w:b w:val="false"/>
                <w:i w:val="false"/>
                <w:color w:val="000000"/>
                <w:sz w:val="20"/>
              </w:rPr>
              <w:t>60% – 69% включительно;</w:t>
            </w:r>
            <w:r>
              <w:br/>
            </w:r>
            <w:r>
              <w:rPr>
                <w:rFonts w:ascii="Times New Roman"/>
                <w:b w:val="false"/>
                <w:i w:val="false"/>
                <w:color w:val="000000"/>
                <w:sz w:val="20"/>
              </w:rPr>
              <w:t>
</w:t>
            </w:r>
            <w:r>
              <w:rPr>
                <w:rFonts w:ascii="Times New Roman"/>
                <w:b w:val="false"/>
                <w:i w:val="false"/>
                <w:color w:val="000000"/>
                <w:sz w:val="20"/>
              </w:rPr>
              <w:t>70% –79% включительно;</w:t>
            </w:r>
            <w:r>
              <w:br/>
            </w:r>
            <w:r>
              <w:rPr>
                <w:rFonts w:ascii="Times New Roman"/>
                <w:b w:val="false"/>
                <w:i w:val="false"/>
                <w:color w:val="000000"/>
                <w:sz w:val="20"/>
              </w:rPr>
              <w:t>
</w:t>
            </w:r>
            <w:r>
              <w:rPr>
                <w:rFonts w:ascii="Times New Roman"/>
                <w:b w:val="false"/>
                <w:i w:val="false"/>
                <w:color w:val="000000"/>
                <w:sz w:val="20"/>
              </w:rPr>
              <w:t>80% –89% включительно;</w:t>
            </w:r>
            <w:r>
              <w:br/>
            </w:r>
            <w:r>
              <w:rPr>
                <w:rFonts w:ascii="Times New Roman"/>
                <w:b w:val="false"/>
                <w:i w:val="false"/>
                <w:color w:val="000000"/>
                <w:sz w:val="20"/>
              </w:rPr>
              <w:t>
90% – 100% включительно</w:t>
            </w:r>
          </w:p>
          <w:bookmarkEnd w:id="16"/>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4 балла</w:t>
            </w:r>
            <w:r>
              <w:br/>
            </w:r>
            <w:r>
              <w:rPr>
                <w:rFonts w:ascii="Times New Roman"/>
                <w:b w:val="false"/>
                <w:i w:val="false"/>
                <w:color w:val="000000"/>
                <w:sz w:val="20"/>
              </w:rPr>
              <w:t>
</w:t>
            </w:r>
            <w:r>
              <w:rPr>
                <w:rFonts w:ascii="Times New Roman"/>
                <w:b w:val="false"/>
                <w:i w:val="false"/>
                <w:color w:val="000000"/>
                <w:sz w:val="20"/>
              </w:rPr>
              <w:t>5 баллов</w:t>
            </w:r>
            <w:r>
              <w:br/>
            </w:r>
            <w:r>
              <w:rPr>
                <w:rFonts w:ascii="Times New Roman"/>
                <w:b w:val="false"/>
                <w:i w:val="false"/>
                <w:color w:val="000000"/>
                <w:sz w:val="20"/>
              </w:rPr>
              <w:t>
</w:t>
            </w:r>
            <w:r>
              <w:rPr>
                <w:rFonts w:ascii="Times New Roman"/>
                <w:b w:val="false"/>
                <w:i w:val="false"/>
                <w:color w:val="000000"/>
                <w:sz w:val="20"/>
              </w:rPr>
              <w:t>6 баллов</w:t>
            </w:r>
            <w:r>
              <w:br/>
            </w:r>
            <w:r>
              <w:rPr>
                <w:rFonts w:ascii="Times New Roman"/>
                <w:b w:val="false"/>
                <w:i w:val="false"/>
                <w:color w:val="000000"/>
                <w:sz w:val="20"/>
              </w:rPr>
              <w:t>
</w:t>
            </w:r>
            <w:r>
              <w:rPr>
                <w:rFonts w:ascii="Times New Roman"/>
                <w:b w:val="false"/>
                <w:i w:val="false"/>
                <w:color w:val="000000"/>
                <w:sz w:val="20"/>
              </w:rPr>
              <w:t>7 баллов</w:t>
            </w:r>
            <w:r>
              <w:br/>
            </w:r>
            <w:r>
              <w:rPr>
                <w:rFonts w:ascii="Times New Roman"/>
                <w:b w:val="false"/>
                <w:i w:val="false"/>
                <w:color w:val="000000"/>
                <w:sz w:val="20"/>
              </w:rPr>
              <w:t>
</w:t>
            </w:r>
            <w:r>
              <w:rPr>
                <w:rFonts w:ascii="Times New Roman"/>
                <w:b w:val="false"/>
                <w:i w:val="false"/>
                <w:color w:val="000000"/>
                <w:sz w:val="20"/>
              </w:rPr>
              <w:t>8 баллов</w:t>
            </w:r>
            <w:r>
              <w:br/>
            </w:r>
            <w:r>
              <w:rPr>
                <w:rFonts w:ascii="Times New Roman"/>
                <w:b w:val="false"/>
                <w:i w:val="false"/>
                <w:color w:val="000000"/>
                <w:sz w:val="20"/>
              </w:rPr>
              <w:t>
</w:t>
            </w:r>
            <w:r>
              <w:rPr>
                <w:rFonts w:ascii="Times New Roman"/>
                <w:b w:val="false"/>
                <w:i w:val="false"/>
                <w:color w:val="000000"/>
                <w:sz w:val="20"/>
              </w:rPr>
              <w:t>9 баллов</w:t>
            </w:r>
            <w:r>
              <w:br/>
            </w:r>
            <w:r>
              <w:rPr>
                <w:rFonts w:ascii="Times New Roman"/>
                <w:b w:val="false"/>
                <w:i w:val="false"/>
                <w:color w:val="000000"/>
                <w:sz w:val="20"/>
              </w:rPr>
              <w:t>
10 баллов</w:t>
            </w:r>
          </w:p>
          <w:bookmarkEnd w:id="17"/>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 принятие предложений по совершенствованию внутренних процессов (бизнес процессов)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 принятых предложений по совершенствованию внутренних процессов (бизнес-процессов)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предложение плюс 1 балл (максимальный балл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Республики Казахстан от 12 ноября 2015 года "О государственном аудите и финансовом контроле"</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службы внутреннего аудита, у которых отозван сертификат государственного аудитора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минус 10 баллов</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не соответствующих Стандартам государственного аудита и финансового контроля</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Количество материалов аудита, не соответствующих Стандартам государственного аудита и финансового контроля по результатам контроля качества, проведенного уполномоченным органом по внутреннему государственному аудиту:</w:t>
            </w:r>
            <w:r>
              <w:br/>
            </w:r>
            <w:r>
              <w:rPr>
                <w:rFonts w:ascii="Times New Roman"/>
                <w:b w:val="false"/>
                <w:i w:val="false"/>
                <w:color w:val="000000"/>
                <w:sz w:val="20"/>
              </w:rPr>
              <w:t>
</w:t>
            </w:r>
            <w:r>
              <w:rPr>
                <w:rFonts w:ascii="Times New Roman"/>
                <w:b w:val="false"/>
                <w:i w:val="false"/>
                <w:color w:val="000000"/>
                <w:sz w:val="20"/>
              </w:rPr>
              <w:t>1 материал;</w:t>
            </w:r>
            <w:r>
              <w:br/>
            </w:r>
            <w:r>
              <w:rPr>
                <w:rFonts w:ascii="Times New Roman"/>
                <w:b w:val="false"/>
                <w:i w:val="false"/>
                <w:color w:val="000000"/>
                <w:sz w:val="20"/>
              </w:rPr>
              <w:t>
</w:t>
            </w:r>
            <w:r>
              <w:rPr>
                <w:rFonts w:ascii="Times New Roman"/>
                <w:b w:val="false"/>
                <w:i w:val="false"/>
                <w:color w:val="000000"/>
                <w:sz w:val="20"/>
              </w:rPr>
              <w:t>от 2 до 3 материалов;</w:t>
            </w:r>
            <w:r>
              <w:br/>
            </w:r>
            <w:r>
              <w:rPr>
                <w:rFonts w:ascii="Times New Roman"/>
                <w:b w:val="false"/>
                <w:i w:val="false"/>
                <w:color w:val="000000"/>
                <w:sz w:val="20"/>
              </w:rPr>
              <w:t>
от 4 материалов и более</w:t>
            </w:r>
          </w:p>
          <w:bookmarkEnd w:id="18"/>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- 3 балла</w:t>
            </w:r>
            <w:r>
              <w:br/>
            </w:r>
            <w:r>
              <w:rPr>
                <w:rFonts w:ascii="Times New Roman"/>
                <w:b w:val="false"/>
                <w:i w:val="false"/>
                <w:color w:val="000000"/>
                <w:sz w:val="20"/>
              </w:rPr>
              <w:t>
</w:t>
            </w:r>
            <w:r>
              <w:rPr>
                <w:rFonts w:ascii="Times New Roman"/>
                <w:b w:val="false"/>
                <w:i w:val="false"/>
                <w:color w:val="000000"/>
                <w:sz w:val="20"/>
              </w:rPr>
              <w:t>- 4 балла</w:t>
            </w:r>
            <w:r>
              <w:br/>
            </w:r>
            <w:r>
              <w:rPr>
                <w:rFonts w:ascii="Times New Roman"/>
                <w:b w:val="false"/>
                <w:i w:val="false"/>
                <w:color w:val="000000"/>
                <w:sz w:val="20"/>
              </w:rPr>
              <w:t>
- 5 баллов</w:t>
            </w:r>
          </w:p>
          <w:bookmarkEnd w:id="19"/>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на противоправные действия работников службы внутреннего аудита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случаев обращений на противоправные действия работников службы внутреннего аудита, поступивших в уполномоченный орган по внутреннему аудиту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минус 5 баллов</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 (оценивается только в случае наличия поручений службам внутреннего аудита)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Наличие фактов неисполнения решений Координационного совета:</w:t>
            </w:r>
            <w:r>
              <w:br/>
            </w:r>
            <w:r>
              <w:rPr>
                <w:rFonts w:ascii="Times New Roman"/>
                <w:b w:val="false"/>
                <w:i w:val="false"/>
                <w:color w:val="000000"/>
                <w:sz w:val="20"/>
              </w:rPr>
              <w:t>
</w:t>
            </w:r>
            <w:r>
              <w:rPr>
                <w:rFonts w:ascii="Times New Roman"/>
                <w:b w:val="false"/>
                <w:i w:val="false"/>
                <w:color w:val="000000"/>
                <w:sz w:val="20"/>
              </w:rPr>
              <w:t>1 - 2 факта;</w:t>
            </w:r>
            <w:r>
              <w:br/>
            </w:r>
            <w:r>
              <w:rPr>
                <w:rFonts w:ascii="Times New Roman"/>
                <w:b w:val="false"/>
                <w:i w:val="false"/>
                <w:color w:val="000000"/>
                <w:sz w:val="20"/>
              </w:rPr>
              <w:t>
</w:t>
            </w:r>
            <w:r>
              <w:rPr>
                <w:rFonts w:ascii="Times New Roman"/>
                <w:b w:val="false"/>
                <w:i w:val="false"/>
                <w:color w:val="000000"/>
                <w:sz w:val="20"/>
              </w:rPr>
              <w:t>3 - 5 фактов;</w:t>
            </w:r>
            <w:r>
              <w:br/>
            </w:r>
            <w:r>
              <w:rPr>
                <w:rFonts w:ascii="Times New Roman"/>
                <w:b w:val="false"/>
                <w:i w:val="false"/>
                <w:color w:val="000000"/>
                <w:sz w:val="20"/>
              </w:rPr>
              <w:t>
более 5 фактов</w:t>
            </w:r>
          </w:p>
          <w:bookmarkEnd w:id="20"/>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-5 баллов</w:t>
            </w:r>
            <w:r>
              <w:br/>
            </w:r>
            <w:r>
              <w:rPr>
                <w:rFonts w:ascii="Times New Roman"/>
                <w:b w:val="false"/>
                <w:i w:val="false"/>
                <w:color w:val="000000"/>
                <w:sz w:val="20"/>
              </w:rPr>
              <w:t>
-7 баллов</w:t>
            </w:r>
          </w:p>
          <w:bookmarkEnd w:id="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r>
              <w:br/>
            </w:r>
            <w:r>
              <w:rPr>
                <w:rFonts w:ascii="Times New Roman"/>
                <w:b w:val="false"/>
                <w:i w:val="false"/>
                <w:color w:val="000000"/>
                <w:sz w:val="20"/>
              </w:rPr>
              <w:t>
</w:t>
            </w:r>
            <w:r>
              <w:rPr>
                <w:rFonts w:ascii="Times New Roman"/>
                <w:b w:val="false"/>
                <w:i w:val="false"/>
                <w:color w:val="000000"/>
                <w:sz w:val="20"/>
              </w:rPr>
              <w:t>1 - 2 факта;</w:t>
            </w:r>
            <w:r>
              <w:br/>
            </w:r>
            <w:r>
              <w:rPr>
                <w:rFonts w:ascii="Times New Roman"/>
                <w:b w:val="false"/>
                <w:i w:val="false"/>
                <w:color w:val="000000"/>
                <w:sz w:val="20"/>
              </w:rPr>
              <w:t>
</w:t>
            </w:r>
            <w:r>
              <w:rPr>
                <w:rFonts w:ascii="Times New Roman"/>
                <w:b w:val="false"/>
                <w:i w:val="false"/>
                <w:color w:val="000000"/>
                <w:sz w:val="20"/>
              </w:rPr>
              <w:t>3 - 5 фактов;</w:t>
            </w:r>
            <w:r>
              <w:br/>
            </w:r>
            <w:r>
              <w:rPr>
                <w:rFonts w:ascii="Times New Roman"/>
                <w:b w:val="false"/>
                <w:i w:val="false"/>
                <w:color w:val="000000"/>
                <w:sz w:val="20"/>
              </w:rPr>
              <w:t>
более 5 фактов</w:t>
            </w:r>
          </w:p>
          <w:bookmarkEnd w:id="22"/>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3"/>
          <w:p>
            <w:pPr>
              <w:spacing w:after="20"/>
              <w:ind w:left="20"/>
              <w:jc w:val="both"/>
            </w:pPr>
            <w:r>
              <w:rPr>
                <w:rFonts w:ascii="Times New Roman"/>
                <w:b w:val="false"/>
                <w:i w:val="false"/>
                <w:color w:val="000000"/>
                <w:sz w:val="20"/>
              </w:rPr>
              <w:t>
- 1 балл</w:t>
            </w:r>
            <w:r>
              <w:br/>
            </w:r>
            <w:r>
              <w:rPr>
                <w:rFonts w:ascii="Times New Roman"/>
                <w:b w:val="false"/>
                <w:i w:val="false"/>
                <w:color w:val="000000"/>
                <w:sz w:val="20"/>
              </w:rPr>
              <w:t>
</w:t>
            </w:r>
            <w:r>
              <w:rPr>
                <w:rFonts w:ascii="Times New Roman"/>
                <w:b w:val="false"/>
                <w:i w:val="false"/>
                <w:color w:val="000000"/>
                <w:sz w:val="20"/>
              </w:rPr>
              <w:t>- 3 баллов</w:t>
            </w:r>
            <w:r>
              <w:br/>
            </w:r>
            <w:r>
              <w:rPr>
                <w:rFonts w:ascii="Times New Roman"/>
                <w:b w:val="false"/>
                <w:i w:val="false"/>
                <w:color w:val="000000"/>
                <w:sz w:val="20"/>
              </w:rPr>
              <w:t>
- 5 баллов</w:t>
            </w:r>
          </w:p>
          <w:bookmarkEnd w:id="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представления отчета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минус 3 балла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аудита эффективности</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4"/>
          <w:p>
            <w:pPr>
              <w:spacing w:after="20"/>
              <w:ind w:left="20"/>
              <w:jc w:val="both"/>
            </w:pPr>
            <w:r>
              <w:rPr>
                <w:rFonts w:ascii="Times New Roman"/>
                <w:b w:val="false"/>
                <w:i w:val="false"/>
                <w:color w:val="000000"/>
                <w:sz w:val="20"/>
              </w:rPr>
              <w:t>
Удельный вес аудитов эффективности к общему количеству проведенных аудитов (по количеству проведенных аудитов эффективности): до 49% включительно;</w:t>
            </w:r>
            <w:r>
              <w:br/>
            </w:r>
            <w:r>
              <w:rPr>
                <w:rFonts w:ascii="Times New Roman"/>
                <w:b w:val="false"/>
                <w:i w:val="false"/>
                <w:color w:val="000000"/>
                <w:sz w:val="20"/>
              </w:rPr>
              <w:t>
</w:t>
            </w:r>
            <w:r>
              <w:rPr>
                <w:rFonts w:ascii="Times New Roman"/>
                <w:b w:val="false"/>
                <w:i w:val="false"/>
                <w:color w:val="000000"/>
                <w:sz w:val="20"/>
              </w:rPr>
              <w:t>50% – 59% включительно;</w:t>
            </w:r>
            <w:r>
              <w:br/>
            </w:r>
            <w:r>
              <w:rPr>
                <w:rFonts w:ascii="Times New Roman"/>
                <w:b w:val="false"/>
                <w:i w:val="false"/>
                <w:color w:val="000000"/>
                <w:sz w:val="20"/>
              </w:rPr>
              <w:t>
</w:t>
            </w:r>
            <w:r>
              <w:rPr>
                <w:rFonts w:ascii="Times New Roman"/>
                <w:b w:val="false"/>
                <w:i w:val="false"/>
                <w:color w:val="000000"/>
                <w:sz w:val="20"/>
              </w:rPr>
              <w:t>60% – 69% включительно;</w:t>
            </w:r>
            <w:r>
              <w:br/>
            </w:r>
            <w:r>
              <w:rPr>
                <w:rFonts w:ascii="Times New Roman"/>
                <w:b w:val="false"/>
                <w:i w:val="false"/>
                <w:color w:val="000000"/>
                <w:sz w:val="20"/>
              </w:rPr>
              <w:t>
</w:t>
            </w:r>
            <w:r>
              <w:rPr>
                <w:rFonts w:ascii="Times New Roman"/>
                <w:b w:val="false"/>
                <w:i w:val="false"/>
                <w:color w:val="000000"/>
                <w:sz w:val="20"/>
              </w:rPr>
              <w:t>70% – 79% включительно;</w:t>
            </w:r>
            <w:r>
              <w:br/>
            </w:r>
            <w:r>
              <w:rPr>
                <w:rFonts w:ascii="Times New Roman"/>
                <w:b w:val="false"/>
                <w:i w:val="false"/>
                <w:color w:val="000000"/>
                <w:sz w:val="20"/>
              </w:rPr>
              <w:t>
</w:t>
            </w:r>
            <w:r>
              <w:rPr>
                <w:rFonts w:ascii="Times New Roman"/>
                <w:b w:val="false"/>
                <w:i w:val="false"/>
                <w:color w:val="000000"/>
                <w:sz w:val="20"/>
              </w:rPr>
              <w:t>80% – 89% включительно;</w:t>
            </w:r>
            <w:r>
              <w:br/>
            </w:r>
            <w:r>
              <w:rPr>
                <w:rFonts w:ascii="Times New Roman"/>
                <w:b w:val="false"/>
                <w:i w:val="false"/>
                <w:color w:val="000000"/>
                <w:sz w:val="20"/>
              </w:rPr>
              <w:t>
90% – 100% включительно</w:t>
            </w:r>
          </w:p>
          <w:bookmarkEnd w:id="24"/>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5"/>
          <w:p>
            <w:pPr>
              <w:spacing w:after="20"/>
              <w:ind w:left="20"/>
              <w:jc w:val="both"/>
            </w:pPr>
            <w:r>
              <w:rPr>
                <w:rFonts w:ascii="Times New Roman"/>
                <w:b w:val="false"/>
                <w:i w:val="false"/>
                <w:color w:val="000000"/>
                <w:sz w:val="20"/>
              </w:rPr>
              <w:t>
0 баллов</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4 балла</w:t>
            </w:r>
            <w:r>
              <w:br/>
            </w:r>
            <w:r>
              <w:rPr>
                <w:rFonts w:ascii="Times New Roman"/>
                <w:b w:val="false"/>
                <w:i w:val="false"/>
                <w:color w:val="000000"/>
                <w:sz w:val="20"/>
              </w:rPr>
              <w:t>
5 баллов</w:t>
            </w:r>
          </w:p>
          <w:bookmarkEnd w:id="25"/>
        </w:tc>
      </w:tr>
    </w:tbl>
    <w:bookmarkStart w:name="z78" w:id="26"/>
    <w:p>
      <w:pPr>
        <w:spacing w:after="0"/>
        <w:ind w:left="0"/>
        <w:jc w:val="both"/>
      </w:pPr>
      <w:r>
        <w:rPr>
          <w:rFonts w:ascii="Times New Roman"/>
          <w:b w:val="false"/>
          <w:i w:val="false"/>
          <w:color w:val="000000"/>
          <w:sz w:val="28"/>
        </w:rPr>
        <w:t>
      Примечание:</w:t>
      </w:r>
    </w:p>
    <w:bookmarkEnd w:id="26"/>
    <w:bookmarkStart w:name="z79" w:id="27"/>
    <w:p>
      <w:pPr>
        <w:spacing w:after="0"/>
        <w:ind w:left="0"/>
        <w:jc w:val="both"/>
      </w:pPr>
      <w:r>
        <w:rPr>
          <w:rFonts w:ascii="Times New Roman"/>
          <w:b w:val="false"/>
          <w:i w:val="false"/>
          <w:color w:val="000000"/>
          <w:sz w:val="28"/>
        </w:rPr>
        <w:t>
      * Внутренние процессы (бизнес-процессы) – это совокупность взаимосвязанных мероприятий или работ, направленных на достижение определенных задач и целей.</w:t>
      </w:r>
    </w:p>
    <w:bookmarkEnd w:id="27"/>
    <w:bookmarkStart w:name="z80" w:id="28"/>
    <w:p>
      <w:pPr>
        <w:spacing w:after="0"/>
        <w:ind w:left="0"/>
        <w:jc w:val="both"/>
      </w:pPr>
      <w:r>
        <w:rPr>
          <w:rFonts w:ascii="Times New Roman"/>
          <w:b w:val="false"/>
          <w:i w:val="false"/>
          <w:color w:val="000000"/>
          <w:sz w:val="28"/>
        </w:rPr>
        <w:t>
      Предложения служб внутреннего аудита по совершенствованию внутренних процессов (бизнес-процессов) включают:</w:t>
      </w:r>
    </w:p>
    <w:bookmarkEnd w:id="28"/>
    <w:bookmarkStart w:name="z81" w:id="29"/>
    <w:p>
      <w:pPr>
        <w:spacing w:after="0"/>
        <w:ind w:left="0"/>
        <w:jc w:val="both"/>
      </w:pPr>
      <w:r>
        <w:rPr>
          <w:rFonts w:ascii="Times New Roman"/>
          <w:b w:val="false"/>
          <w:i w:val="false"/>
          <w:color w:val="000000"/>
          <w:sz w:val="28"/>
        </w:rPr>
        <w:t>
      1) внесение изменений и (или) дополнений, в законодательство Республики Казахстан;</w:t>
      </w:r>
    </w:p>
    <w:bookmarkEnd w:id="29"/>
    <w:bookmarkStart w:name="z82" w:id="30"/>
    <w:p>
      <w:pPr>
        <w:spacing w:after="0"/>
        <w:ind w:left="0"/>
        <w:jc w:val="both"/>
      </w:pPr>
      <w:r>
        <w:rPr>
          <w:rFonts w:ascii="Times New Roman"/>
          <w:b w:val="false"/>
          <w:i w:val="false"/>
          <w:color w:val="000000"/>
          <w:sz w:val="28"/>
        </w:rPr>
        <w:t>
      2) улучшение деятельности, принятые соответствующим уполномоченным органом.</w:t>
      </w:r>
    </w:p>
    <w:bookmarkEnd w:id="30"/>
    <w:bookmarkStart w:name="z83" w:id="31"/>
    <w:p>
      <w:pPr>
        <w:spacing w:after="0"/>
        <w:ind w:left="0"/>
        <w:jc w:val="both"/>
      </w:pPr>
      <w:r>
        <w:rPr>
          <w:rFonts w:ascii="Times New Roman"/>
          <w:b w:val="false"/>
          <w:i w:val="false"/>
          <w:color w:val="000000"/>
          <w:sz w:val="28"/>
        </w:rPr>
        <w:t>
      При этом рекомендации, направленные объектам государственного аудита, не подлежат учету по данному критерию.</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