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862e" w14:textId="1bd8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 октября 2020 года № 513. Зарегистрирован в Министерстве юстиции Республики Казахстан 6 октября 2020 года № 21369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10795, опубликован 15 мая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либо с привлечением сторонних специалистов составляет задание на проектирование намеченного объекта.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обязательным требованием является применение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утвержденными приказом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12767) (далее - Правила ведения базы данных ТРУ).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обязательным требованием является обеспечение условий доступности для инвалидов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519 "Об утверждении стандартов рабочего места инвалида" (зарегистрирован в Реестре государственной регистрации нормативных правовых актов за № 13913).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обязательным требованием является указание заказчика о расчетной предельной стоимости строительства к инвестиционному предложению. Расчетная предельная стоимость строительства определяется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В случае если внесенные по инициативе заказчика поправки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работ;".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