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d029" w14:textId="746d029">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21 сентября 2020 года № 82. Зарегистрировано в Министерстве юстиции Республики Казахстан 22 сентября 2020 года № 21237.</w:t>
      </w:r>
    </w:p>
    <w:p>
      <w:pPr>
        <w:spacing w:after="0"/>
        <w:ind w:left="0"/>
        <w:jc w:val="both"/>
      </w:pPr>
      <w:bookmarkStart w:name="z4" w:id="0"/>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лимитах открытой валютной позиции,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установив, что в период приостановления данная часть действует в следующей редакции:</w:t>
      </w:r>
    </w:p>
    <w:bookmarkEnd w:id="4"/>
    <w:bookmarkStart w:name="z9" w:id="5"/>
    <w:p>
      <w:pPr>
        <w:spacing w:after="0"/>
        <w:ind w:left="0"/>
        <w:jc w:val="both"/>
      </w:pPr>
      <w:r>
        <w:rPr>
          <w:rFonts w:ascii="Times New Roman"/>
          <w:b w:val="false"/>
          <w:i w:val="false"/>
          <w:color w:val="000000"/>
          <w:sz w:val="28"/>
        </w:rPr>
        <w:t>
      "3. Правилами устанавливаются следующие лимиты открытой валютной позиции:</w:t>
      </w:r>
    </w:p>
    <w:bookmarkEnd w:id="5"/>
    <w:bookmarkStart w:name="z10" w:id="6"/>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 за исключением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w:t>
      </w:r>
    </w:p>
    <w:bookmarkEnd w:id="6"/>
    <w:bookmarkStart w:name="z11" w:id="7"/>
    <w:p>
      <w:pPr>
        <w:spacing w:after="0"/>
        <w:ind w:left="0"/>
        <w:jc w:val="both"/>
      </w:pPr>
      <w:r>
        <w:rPr>
          <w:rFonts w:ascii="Times New Roman"/>
          <w:b w:val="false"/>
          <w:i w:val="false"/>
          <w:color w:val="000000"/>
          <w:sz w:val="28"/>
        </w:rPr>
        <w:t>
      лимит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 в размере, не превышающем 7,5 (семь целых пять десятых) процента величины собственного капитала банка;</w:t>
      </w:r>
    </w:p>
    <w:bookmarkEnd w:id="7"/>
    <w:bookmarkStart w:name="z12" w:id="8"/>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bookmarkEnd w:id="8"/>
    <w:bookmarkStart w:name="z13" w:id="9"/>
    <w:p>
      <w:pPr>
        <w:spacing w:after="0"/>
        <w:ind w:left="0"/>
        <w:jc w:val="both"/>
      </w:pPr>
      <w:r>
        <w:rPr>
          <w:rFonts w:ascii="Times New Roman"/>
          <w:b w:val="false"/>
          <w:i w:val="false"/>
          <w:color w:val="000000"/>
          <w:sz w:val="28"/>
        </w:rPr>
        <w:t>
      3) лимит валютной нетто-позиции в размере, не превышающем 12,5 (двенадцать целых пять десятых) процентов величины собственного капитала банка.".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 w:id="10"/>
    <w:p>
      <w:pPr>
        <w:spacing w:after="0"/>
        <w:ind w:left="0"/>
        <w:jc w:val="both"/>
      </w:pPr>
      <w:r>
        <w:rPr>
          <w:rFonts w:ascii="Times New Roman"/>
          <w:b w:val="false"/>
          <w:i w:val="false"/>
          <w:color w:val="000000"/>
          <w:sz w:val="28"/>
        </w:rPr>
        <w:t>
      4.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0"/>
    <w:bookmarkStart w:name="z58"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59"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
    <w:bookmarkStart w:name="z60"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
    <w:bookmarkStart w:name="z61" w:id="14"/>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
    <w:bookmarkStart w:name="z62" w:id="15"/>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4"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21 сентября 2020 года № 82</w:t>
            </w:r>
          </w:p>
        </w:tc>
      </w:tr>
    </w:tbl>
    <w:bookmarkStart w:name="z66" w:id="17"/>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7"/>
    <w:bookmarkStart w:name="z67"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следующее дополнение:</w:t>
      </w:r>
    </w:p>
    <w:bookmarkEnd w:id="18"/>
    <w:bookmarkStart w:name="z6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19"/>
    <w:bookmarkStart w:name="z69" w:id="20"/>
    <w:p>
      <w:pPr>
        <w:spacing w:after="0"/>
        <w:ind w:left="0"/>
        <w:jc w:val="both"/>
      </w:pPr>
      <w:r>
        <w:rPr>
          <w:rFonts w:ascii="Times New Roman"/>
          <w:b w:val="false"/>
          <w:i w:val="false"/>
          <w:color w:val="000000"/>
          <w:sz w:val="28"/>
        </w:rPr>
        <w:t>
      дополнить пунктом 34-1 следующего содержания:</w:t>
      </w:r>
    </w:p>
    <w:bookmarkEnd w:id="20"/>
    <w:bookmarkStart w:name="z70" w:id="21"/>
    <w:p>
      <w:pPr>
        <w:spacing w:after="0"/>
        <w:ind w:left="0"/>
        <w:jc w:val="both"/>
      </w:pPr>
      <w:r>
        <w:rPr>
          <w:rFonts w:ascii="Times New Roman"/>
          <w:b w:val="false"/>
          <w:i w:val="false"/>
          <w:color w:val="000000"/>
          <w:sz w:val="28"/>
        </w:rPr>
        <w:t xml:space="preserve">
      "34-1. В случае превышения ограничений, установленных Пруденциальными нормативами, в связи с увеличением требований Организации к заемщику в результате реорганизации дочерних организаций акционерного общества "Национальный управляющий холдинг "Байтерек" путем их присоединения к Единому оператору жилищного строительства, норматив максимального размера риска на одного заемщика считается выполненным. </w:t>
      </w:r>
    </w:p>
    <w:bookmarkEnd w:id="21"/>
    <w:bookmarkStart w:name="z71" w:id="22"/>
    <w:p>
      <w:pPr>
        <w:spacing w:after="0"/>
        <w:ind w:left="0"/>
        <w:jc w:val="both"/>
      </w:pPr>
      <w:r>
        <w:rPr>
          <w:rFonts w:ascii="Times New Roman"/>
          <w:b w:val="false"/>
          <w:i w:val="false"/>
          <w:color w:val="000000"/>
          <w:sz w:val="28"/>
        </w:rPr>
        <w:t>
      В указанном случае Организация немедленно информирует уполномоченный орган о факте превышения ограничений и принимает обязательство по устранению превышения в сроки, согласованные с уполномоченным органом. Если данное превышение не будет устранено в согласованные с уполномоченным органом сроки,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 w:id="23"/>
    <w:p>
      <w:pPr>
        <w:spacing w:after="0"/>
        <w:ind w:left="0"/>
        <w:jc w:val="both"/>
      </w:pPr>
      <w:r>
        <w:rPr>
          <w:rFonts w:ascii="Times New Roman"/>
          <w:b w:val="false"/>
          <w:i w:val="false"/>
          <w:color w:val="000000"/>
          <w:sz w:val="28"/>
        </w:rPr>
        <w:t>
      3. Внести в </w:t>
      </w:r>
      <w:r>
        <w:rPr>
          <w:rFonts w:ascii="Times New Roman"/>
          <w:b w:val="false"/>
          <w:i w:val="false"/>
          <w:color w:val="000000"/>
          <w:sz w:val="28"/>
        </w:rPr>
        <w:t>постановление</w:t>
      </w:r>
      <w:r>
        <w:rPr>
          <w:rFonts w:ascii="Times New Roman"/>
          <w:b w:val="false"/>
          <w:i w:val="false"/>
          <w:color w:val="000000"/>
          <w:sz w:val="28"/>
        </w:rPr>
        <w:t>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опубликовано 14 декабря 2018 года в Эталонном контрольном банке нормативных правовых актов Республики Казахстан) следующее изменение:</w:t>
      </w:r>
    </w:p>
    <w:bookmarkEnd w:id="23"/>
    <w:bookmarkStart w:name="z91" w:id="24"/>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изложить в следующей редакции:</w:t>
      </w:r>
    </w:p>
    <w:bookmarkStart w:name="z93" w:id="25"/>
    <w:p>
      <w:pPr>
        <w:spacing w:after="0"/>
        <w:ind w:left="0"/>
        <w:jc w:val="both"/>
      </w:pPr>
      <w:r>
        <w:rPr>
          <w:rFonts w:ascii="Times New Roman"/>
          <w:b w:val="false"/>
          <w:i w:val="false"/>
          <w:color w:val="000000"/>
          <w:sz w:val="28"/>
        </w:rPr>
        <w:t>
      "12. Государственная регистрация выпуска облигаций (облигационной программы) банка или организации, осуществляющей отдельные виды банковских операций, осуществляется при условии соблюдения эмитентом следующих требований:</w:t>
      </w:r>
    </w:p>
    <w:bookmarkEnd w:id="25"/>
    <w:bookmarkStart w:name="z94" w:id="26"/>
    <w:p>
      <w:pPr>
        <w:spacing w:after="0"/>
        <w:ind w:left="0"/>
        <w:jc w:val="both"/>
      </w:pPr>
      <w:r>
        <w:rPr>
          <w:rFonts w:ascii="Times New Roman"/>
          <w:b w:val="false"/>
          <w:i w:val="false"/>
          <w:color w:val="000000"/>
          <w:sz w:val="28"/>
        </w:rPr>
        <w:t>
      1) отсутствие на дату подачи документов для государственной регистрации выпуска облигаций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bookmarkEnd w:id="26"/>
    <w:bookmarkStart w:name="z95" w:id="27"/>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лет до даты подачи документов для государственной регистрации выпуска облигаций (облигационной программы) или чистые потоки денег, полученные от деятельности эмитента, за один из двух последних завершенных финансовых года, рассчитанные на основании его финансовой отчетности, подтвержденной аудиторским отчетом, являются положительными;</w:t>
      </w:r>
    </w:p>
    <w:bookmarkEnd w:id="27"/>
    <w:bookmarkStart w:name="z96" w:id="28"/>
    <w:p>
      <w:pPr>
        <w:spacing w:after="0"/>
        <w:ind w:left="0"/>
        <w:jc w:val="both"/>
      </w:pPr>
      <w:r>
        <w:rPr>
          <w:rFonts w:ascii="Times New Roman"/>
          <w:b w:val="false"/>
          <w:i w:val="false"/>
          <w:color w:val="000000"/>
          <w:sz w:val="28"/>
        </w:rPr>
        <w:t xml:space="preserve">
      3) отсутствие фактов несоблюдения пруденциальных нормативов и иных установленных уполномоченным органом норм и лимитов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w:t>
      </w:r>
    </w:p>
    <w:bookmarkEnd w:id="28"/>
    <w:bookmarkStart w:name="z97" w:id="29"/>
    <w:p>
      <w:pPr>
        <w:spacing w:after="0"/>
        <w:ind w:left="0"/>
        <w:jc w:val="both"/>
      </w:pPr>
      <w:r>
        <w:rPr>
          <w:rFonts w:ascii="Times New Roman"/>
          <w:b w:val="false"/>
          <w:i w:val="false"/>
          <w:color w:val="000000"/>
          <w:sz w:val="28"/>
        </w:rPr>
        <w:t xml:space="preserve">
      В случае отсутствия информации о пруденциальных нормативах и иных установленных уполномоченным органом нормах и лимитах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уполномоченным органом принимается во внимание информация </w:t>
      </w:r>
      <w:r>
        <w:rPr>
          <w:rFonts w:ascii="Times New Roman"/>
          <w:b w:val="false"/>
          <w:i w:val="false"/>
          <w:color w:val="000000"/>
          <w:sz w:val="28"/>
        </w:rPr>
        <w:t xml:space="preserve">о пруденциальных нормативах и иных нормах и лимитах по состоянию на предыдущую отчетную дату; </w:t>
      </w:r>
    </w:p>
    <w:bookmarkEnd w:id="29"/>
    <w:bookmarkStart w:name="z99" w:id="30"/>
    <w:p>
      <w:pPr>
        <w:spacing w:after="0"/>
        <w:ind w:left="0"/>
        <w:jc w:val="both"/>
      </w:pPr>
      <w:r>
        <w:rPr>
          <w:rFonts w:ascii="Times New Roman"/>
          <w:b w:val="false"/>
          <w:i w:val="false"/>
          <w:color w:val="000000"/>
          <w:sz w:val="28"/>
        </w:rPr>
        <w:t xml:space="preserve">
      4) соответствие эмитента и выпускаемых им облигаций </w:t>
      </w:r>
      <w:r>
        <w:rPr>
          <w:rFonts w:ascii="Times New Roman"/>
          <w:b w:val="false"/>
          <w:i w:val="false"/>
          <w:color w:val="000000"/>
          <w:sz w:val="28"/>
        </w:rPr>
        <w:t>Требованиям</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эмитента предусматривается обращение данных облигаций в торговой системе фондовой биржи).</w:t>
      </w:r>
    </w:p>
    <w:bookmarkEnd w:id="30"/>
    <w:bookmarkStart w:name="z100" w:id="3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31"/>
    <w:bookmarkStart w:name="z101" w:id="32"/>
    <w:p>
      <w:pPr>
        <w:spacing w:after="0"/>
        <w:ind w:left="0"/>
        <w:jc w:val="both"/>
      </w:pPr>
      <w:r>
        <w:rPr>
          <w:rFonts w:ascii="Times New Roman"/>
          <w:b w:val="false"/>
          <w:i w:val="false"/>
          <w:color w:val="000000"/>
          <w:sz w:val="28"/>
        </w:rPr>
        <w:t>
      проведения эмитентом реструктуризации обязательств по ранее выпущенным облигациям в соответствии с решением суда о проведении реструктуризации;</w:t>
      </w:r>
    </w:p>
    <w:bookmarkEnd w:id="32"/>
    <w:bookmarkStart w:name="z102" w:id="33"/>
    <w:p>
      <w:pPr>
        <w:spacing w:after="0"/>
        <w:ind w:left="0"/>
        <w:jc w:val="both"/>
      </w:pPr>
      <w:r>
        <w:rPr>
          <w:rFonts w:ascii="Times New Roman"/>
          <w:b w:val="false"/>
          <w:i w:val="false"/>
          <w:color w:val="000000"/>
          <w:sz w:val="28"/>
        </w:rPr>
        <w:t xml:space="preserve">
      проведения эмитентом реструктуризации обязательств по ранее выпущенным облигациям в соответствии с решением уполномоченного органа о проведении принудительной реструктуризации обязательств банка, отнесенного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33"/>
    <w:bookmarkStart w:name="z103" w:id="34"/>
    <w:p>
      <w:pPr>
        <w:spacing w:after="0"/>
        <w:ind w:left="0"/>
        <w:jc w:val="both"/>
      </w:pPr>
      <w:r>
        <w:rPr>
          <w:rFonts w:ascii="Times New Roman"/>
          <w:b w:val="false"/>
          <w:i w:val="false"/>
          <w:color w:val="000000"/>
          <w:sz w:val="28"/>
        </w:rPr>
        <w:t>
      проведения реорганизации эмитента, не менее 50 (пятидесяти) процентов голосующих акций которого принадлежат государству либо национальному управляющему холдингу.</w:t>
      </w:r>
    </w:p>
    <w:bookmarkEnd w:id="34"/>
    <w:bookmarkStart w:name="z104" w:id="35"/>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 виде субординированных облигаций, конвертируемых в акции.".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