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4369" w14:textId="e464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p>
      <w:pPr>
        <w:spacing w:after="0"/>
        <w:ind w:left="0"/>
        <w:jc w:val="both"/>
      </w:pPr>
      <w:r>
        <w:rPr>
          <w:rFonts w:ascii="Times New Roman"/>
          <w:b w:val="false"/>
          <w:i w:val="false"/>
          <w:color w:val="000000"/>
          <w:sz w:val="28"/>
        </w:rPr>
        <w:t>Приказ Министра финансов Республики Казахстан от 15 сентября 2020 года № 872. Зарегистрирован в Министерстве юстиции Республики Казахстан 16 сентября 2020 года № 21208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(зарегистрирован в Реестре государственной регистрации нормативных правовых актов под № 16600, опубликован 26 марта 2018 года в Эталонном контрольном банке нормативных правовых актов Республики Казахстан)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применения генерального обеспечения исполнения обязанности по уплате таможенных пошлин, налогов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Правила учета в органах государственных доходов обеспечения исполнения обязанности по уплате таможенных пошлин, налогов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Правила применения способов обеспечения исполнения обязанностей юридического лица, осуществляющего деятельность в сфере таможенного дела, замены одного способа обеспечения другим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Правила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5)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согласно приложению 5 к настоящему приказу.";</w:t>
      </w:r>
    </w:p>
    <w:bookmarkEnd w:id="8"/>
    <w:bookmarkStart w:name="z15" w:id="9"/>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10"/>
    <w:bookmarkStart w:name="z17"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8"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
    <w:bookmarkStart w:name="z19"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20" w:id="1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22"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2020 года № 872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294</w:t>
            </w:r>
          </w:p>
        </w:tc>
      </w:tr>
    </w:tbl>
    <w:bookmarkStart w:name="z25" w:id="16"/>
    <w:p>
      <w:pPr>
        <w:spacing w:after="0"/>
        <w:ind w:left="0"/>
        <w:jc w:val="left"/>
      </w:pPr>
      <w:r>
        <w:rPr>
          <w:rFonts w:ascii="Times New Roman"/>
          <w:b/>
          <w:i w:val="false"/>
          <w:color w:val="000000"/>
        </w:rPr>
        <w:t xml:space="preserve">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16"/>
    <w:bookmarkStart w:name="z26" w:id="17"/>
    <w:p>
      <w:pPr>
        <w:spacing w:after="0"/>
        <w:ind w:left="0"/>
        <w:jc w:val="left"/>
      </w:pPr>
      <w:r>
        <w:rPr>
          <w:rFonts w:ascii="Times New Roman"/>
          <w:b/>
          <w:i w:val="false"/>
          <w:color w:val="000000"/>
        </w:rPr>
        <w:t xml:space="preserve"> Глава 1. Общие положения</w:t>
      </w:r>
    </w:p>
    <w:bookmarkEnd w:id="17"/>
    <w:bookmarkStart w:name="z27" w:id="18"/>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государственная услуга).</w:t>
      </w:r>
    </w:p>
    <w:bookmarkEnd w:id="18"/>
    <w:bookmarkStart w:name="z28" w:id="19"/>
    <w:p>
      <w:pPr>
        <w:spacing w:after="0"/>
        <w:ind w:left="0"/>
        <w:jc w:val="both"/>
      </w:pPr>
      <w:r>
        <w:rPr>
          <w:rFonts w:ascii="Times New Roman"/>
          <w:b w:val="false"/>
          <w:i w:val="false"/>
          <w:color w:val="000000"/>
          <w:sz w:val="28"/>
        </w:rPr>
        <w:t>
      2. Государственная услуга оказывается Комитетом государственных доходов Министерства финансов, территориальными органами Комитета государственных доходов Министерства финансов по областям, городам Нур-Султану, Алматы и Шымкенту (далее – услугодатель).</w:t>
      </w:r>
    </w:p>
    <w:bookmarkEnd w:id="19"/>
    <w:bookmarkStart w:name="z29" w:id="20"/>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 канцелярию услугодателя или лицом, в функциональные обязанности которого входит прием и выдача корреспонденции (далее – канцелярия услугодателя).</w:t>
      </w:r>
    </w:p>
    <w:bookmarkEnd w:id="20"/>
    <w:bookmarkStart w:name="z30" w:id="21"/>
    <w:p>
      <w:pPr>
        <w:spacing w:after="0"/>
        <w:ind w:left="0"/>
        <w:jc w:val="left"/>
      </w:pPr>
      <w:r>
        <w:rPr>
          <w:rFonts w:ascii="Times New Roman"/>
          <w:b/>
          <w:i w:val="false"/>
          <w:color w:val="000000"/>
        </w:rPr>
        <w:t xml:space="preserve"> Глава 2. Порядок оказания государственной услуги</w:t>
      </w:r>
    </w:p>
    <w:bookmarkEnd w:id="21"/>
    <w:bookmarkStart w:name="z31" w:id="22"/>
    <w:p>
      <w:pPr>
        <w:spacing w:after="0"/>
        <w:ind w:left="0"/>
        <w:jc w:val="both"/>
      </w:pPr>
      <w:r>
        <w:rPr>
          <w:rFonts w:ascii="Times New Roman"/>
          <w:b w:val="false"/>
          <w:i w:val="false"/>
          <w:color w:val="000000"/>
          <w:sz w:val="28"/>
        </w:rPr>
        <w:t>
      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приложении 1 к настоящим Правилам.</w:t>
      </w:r>
    </w:p>
    <w:bookmarkEnd w:id="22"/>
    <w:bookmarkStart w:name="z32" w:id="23"/>
    <w:p>
      <w:pPr>
        <w:spacing w:after="0"/>
        <w:ind w:left="0"/>
        <w:jc w:val="both"/>
      </w:pPr>
      <w:r>
        <w:rPr>
          <w:rFonts w:ascii="Times New Roman"/>
          <w:b w:val="false"/>
          <w:i w:val="false"/>
          <w:color w:val="000000"/>
          <w:sz w:val="28"/>
        </w:rPr>
        <w:t>
      Физические или юридические лица (далее – услугополучатель) для получения государственной услуги направляют услугодателю заявление о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заявление) по форме, согласно приложению 2 к настоящим Правилам и пакет документов, согласно перечню, предусмотренному пунктом 8 приложения 1 к настоящим Правилам.</w:t>
      </w:r>
    </w:p>
    <w:bookmarkEnd w:id="23"/>
    <w:bookmarkStart w:name="z33" w:id="24"/>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Законом.</w:t>
      </w:r>
    </w:p>
    <w:bookmarkEnd w:id="24"/>
    <w:bookmarkStart w:name="z34" w:id="25"/>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"электронного правительства" (далее – портал) в форме электронных документов, удостоверенных электронной цифровой подписи уполномоченных должностных лиц.</w:t>
      </w:r>
    </w:p>
    <w:bookmarkEnd w:id="25"/>
    <w:bookmarkStart w:name="z35" w:id="26"/>
    <w:p>
      <w:pPr>
        <w:spacing w:after="0"/>
        <w:ind w:left="0"/>
        <w:jc w:val="both"/>
      </w:pPr>
      <w:r>
        <w:rPr>
          <w:rFonts w:ascii="Times New Roman"/>
          <w:b w:val="false"/>
          <w:i w:val="false"/>
          <w:color w:val="000000"/>
          <w:sz w:val="28"/>
        </w:rPr>
        <w:t>
      Представление документов не требуется в случае получения информации, содержащейся в них, из государственных информационных систем и (или) из формы сведений.</w:t>
      </w:r>
    </w:p>
    <w:bookmarkEnd w:id="26"/>
    <w:bookmarkStart w:name="z36" w:id="27"/>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27"/>
    <w:bookmarkStart w:name="z37" w:id="28"/>
    <w:p>
      <w:pPr>
        <w:spacing w:after="0"/>
        <w:ind w:left="0"/>
        <w:jc w:val="both"/>
      </w:pPr>
      <w:r>
        <w:rPr>
          <w:rFonts w:ascii="Times New Roman"/>
          <w:b w:val="false"/>
          <w:i w:val="false"/>
          <w:color w:val="000000"/>
          <w:sz w:val="28"/>
        </w:rPr>
        <w:t xml:space="preserve">
      4. Работник канцелярии услугодателя осуществляет прием заявления и прилагаемых к нему документов в день их поступления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прием заявлений и выдача результатов оказания государственной услуги осуществляется следующим рабочим днем), за исключением услугодателя для которых уполномоченным органом в сфере таможенного дела установлен круглосуточный режим работы.</w:t>
      </w:r>
    </w:p>
    <w:bookmarkEnd w:id="28"/>
    <w:bookmarkStart w:name="z38" w:id="29"/>
    <w:p>
      <w:pPr>
        <w:spacing w:after="0"/>
        <w:ind w:left="0"/>
        <w:jc w:val="both"/>
      </w:pPr>
      <w:r>
        <w:rPr>
          <w:rFonts w:ascii="Times New Roman"/>
          <w:b w:val="false"/>
          <w:i w:val="false"/>
          <w:color w:val="000000"/>
          <w:sz w:val="28"/>
        </w:rPr>
        <w:t>
      5. Срок рассмотрения документов и выдача результата оказания государственной услуги составляет не более 3 (трех) рабочих дней со дня их поступления.</w:t>
      </w:r>
    </w:p>
    <w:bookmarkEnd w:id="29"/>
    <w:bookmarkStart w:name="z39" w:id="3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8 приложения 1 к настоящим Правилам, и (или) документов с истекшим сроком действия, а также заявление по неустановленной форме работник канцелярии услугодателя отказывает в приеме заявления.</w:t>
      </w:r>
    </w:p>
    <w:bookmarkEnd w:id="30"/>
    <w:bookmarkStart w:name="z40" w:id="31"/>
    <w:p>
      <w:pPr>
        <w:spacing w:after="0"/>
        <w:ind w:left="0"/>
        <w:jc w:val="both"/>
      </w:pPr>
      <w:r>
        <w:rPr>
          <w:rFonts w:ascii="Times New Roman"/>
          <w:b w:val="false"/>
          <w:i w:val="false"/>
          <w:color w:val="000000"/>
          <w:sz w:val="28"/>
        </w:rPr>
        <w:t>
      6. В случае представления услугополучателем полного пакета документов, согласно перечню, предусмотренный пунктом 8 приложения 1 к настоящим Правилам, а также заявления по форме согласно приложению 2 к настоящим Правилам, работник канцелярии услугодателя передает заявление и прилагаемые к нему документы для рассмотрения руководителю услугодателя либо исполняющему его обязанности, который определяет ответственного исполнителя услугодателя.</w:t>
      </w:r>
    </w:p>
    <w:bookmarkEnd w:id="31"/>
    <w:bookmarkStart w:name="z41" w:id="32"/>
    <w:p>
      <w:pPr>
        <w:spacing w:after="0"/>
        <w:ind w:left="0"/>
        <w:jc w:val="both"/>
      </w:pPr>
      <w:r>
        <w:rPr>
          <w:rFonts w:ascii="Times New Roman"/>
          <w:b w:val="false"/>
          <w:i w:val="false"/>
          <w:color w:val="000000"/>
          <w:sz w:val="28"/>
        </w:rPr>
        <w:t xml:space="preserve">
      Ответственным исполнителем услугодателя в сроки, указанные в части первой пункта 5 настоящих Правил, проверяется соответствие сведений, указанных в заявлении, и (или) представленных документов, необходимых для оказания государственной услуги,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от 26 декабря 2017 года (далее – Кодекс) и настоящими Правилами.</w:t>
      </w:r>
    </w:p>
    <w:bookmarkEnd w:id="32"/>
    <w:bookmarkStart w:name="z42" w:id="33"/>
    <w:p>
      <w:pPr>
        <w:spacing w:after="0"/>
        <w:ind w:left="0"/>
        <w:jc w:val="both"/>
      </w:pPr>
      <w:r>
        <w:rPr>
          <w:rFonts w:ascii="Times New Roman"/>
          <w:b w:val="false"/>
          <w:i w:val="false"/>
          <w:color w:val="000000"/>
          <w:sz w:val="28"/>
        </w:rPr>
        <w:t>
      Результатом оказания государственной услуги являются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с уведомлением либо мотивированный ответ об отказе в оказании государственной услуги в случаях и по основаниям, указанным в пункте 9 приложения 1 к настоящим Правилам.</w:t>
      </w:r>
    </w:p>
    <w:bookmarkEnd w:id="33"/>
    <w:bookmarkStart w:name="z43" w:id="34"/>
    <w:p>
      <w:pPr>
        <w:spacing w:after="0"/>
        <w:ind w:left="0"/>
        <w:jc w:val="both"/>
      </w:pPr>
      <w:r>
        <w:rPr>
          <w:rFonts w:ascii="Times New Roman"/>
          <w:b w:val="false"/>
          <w:i w:val="false"/>
          <w:color w:val="000000"/>
          <w:sz w:val="28"/>
        </w:rPr>
        <w:t>
      Ответственный исполнитель услугодателя результат оказания государственной услуги направляет руководителю услугодателя либо исполняющему его обязанности.</w:t>
      </w:r>
    </w:p>
    <w:bookmarkEnd w:id="34"/>
    <w:bookmarkStart w:name="z44" w:id="35"/>
    <w:p>
      <w:pPr>
        <w:spacing w:after="0"/>
        <w:ind w:left="0"/>
        <w:jc w:val="both"/>
      </w:pPr>
      <w:r>
        <w:rPr>
          <w:rFonts w:ascii="Times New Roman"/>
          <w:b w:val="false"/>
          <w:i w:val="false"/>
          <w:color w:val="000000"/>
          <w:sz w:val="28"/>
        </w:rPr>
        <w:t>
      Результат оказания государственной услуги подписывается руководителем услугодателя либо исполняющим его обязанности и направляется услугополучателю через канцелярию услугодателя.</w:t>
      </w:r>
    </w:p>
    <w:bookmarkEnd w:id="35"/>
    <w:bookmarkStart w:name="z45" w:id="36"/>
    <w:p>
      <w:pPr>
        <w:spacing w:after="0"/>
        <w:ind w:left="0"/>
        <w:jc w:val="both"/>
      </w:pPr>
      <w:r>
        <w:rPr>
          <w:rFonts w:ascii="Times New Roman"/>
          <w:b w:val="false"/>
          <w:i w:val="false"/>
          <w:color w:val="000000"/>
          <w:sz w:val="28"/>
        </w:rPr>
        <w:t xml:space="preserve">
      7.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внесение данных в информационную систему мониторинга оказания государственных услуг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36"/>
    <w:bookmarkStart w:name="z46" w:id="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Государственной корпорации и (или) ее работников по вопросам оказания государственной услуги</w:t>
      </w:r>
    </w:p>
    <w:bookmarkEnd w:id="37"/>
    <w:bookmarkStart w:name="z47" w:id="38"/>
    <w:p>
      <w:pPr>
        <w:spacing w:after="0"/>
        <w:ind w:left="0"/>
        <w:jc w:val="both"/>
      </w:pPr>
      <w:r>
        <w:rPr>
          <w:rFonts w:ascii="Times New Roman"/>
          <w:b w:val="false"/>
          <w:i w:val="false"/>
          <w:color w:val="000000"/>
          <w:sz w:val="28"/>
        </w:rPr>
        <w:t xml:space="preserve">
      8.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 </w:t>
      </w:r>
    </w:p>
    <w:bookmarkEnd w:id="38"/>
    <w:bookmarkStart w:name="z48" w:id="39"/>
    <w:p>
      <w:pPr>
        <w:spacing w:after="0"/>
        <w:ind w:left="0"/>
        <w:jc w:val="both"/>
      </w:pPr>
      <w:r>
        <w:rPr>
          <w:rFonts w:ascii="Times New Roman"/>
          <w:b w:val="false"/>
          <w:i w:val="false"/>
          <w:color w:val="000000"/>
          <w:sz w:val="28"/>
        </w:rPr>
        <w:t>
      на имя руководителя услугодателя;</w:t>
      </w:r>
    </w:p>
    <w:bookmarkEnd w:id="39"/>
    <w:bookmarkStart w:name="z49" w:id="4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0"/>
    <w:bookmarkStart w:name="z50" w:id="4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1"/>
    <w:bookmarkStart w:name="z51" w:id="42"/>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2"/>
    <w:bookmarkStart w:name="z52" w:id="4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3"/>
    <w:bookmarkStart w:name="z53" w:id="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
    <w:bookmarkStart w:name="z54" w:id="45"/>
    <w:p>
      <w:pPr>
        <w:spacing w:after="0"/>
        <w:ind w:left="0"/>
        <w:jc w:val="both"/>
      </w:pPr>
      <w:r>
        <w:rPr>
          <w:rFonts w:ascii="Times New Roman"/>
          <w:b w:val="false"/>
          <w:i w:val="false"/>
          <w:color w:val="000000"/>
          <w:sz w:val="28"/>
        </w:rPr>
        <w:t xml:space="preserve">
      9. В случаях несогласия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"Регистрация исполнения </w:t>
            </w:r>
            <w:r>
              <w:br/>
            </w:r>
            <w:r>
              <w:rPr>
                <w:rFonts w:ascii="Times New Roman"/>
                <w:b w:val="false"/>
                <w:i w:val="false"/>
                <w:color w:val="000000"/>
                <w:sz w:val="20"/>
              </w:rPr>
              <w:t xml:space="preserve">обязанности по уплате </w:t>
            </w:r>
            <w:r>
              <w:br/>
            </w:r>
            <w:r>
              <w:rPr>
                <w:rFonts w:ascii="Times New Roman"/>
                <w:b w:val="false"/>
                <w:i w:val="false"/>
                <w:color w:val="000000"/>
                <w:sz w:val="20"/>
              </w:rPr>
              <w:t xml:space="preserve">таможенных пошлин, налогов, </w:t>
            </w:r>
            <w:r>
              <w:br/>
            </w:r>
            <w:r>
              <w:rPr>
                <w:rFonts w:ascii="Times New Roman"/>
                <w:b w:val="false"/>
                <w:i w:val="false"/>
                <w:color w:val="000000"/>
                <w:sz w:val="20"/>
              </w:rPr>
              <w:t xml:space="preserve">специальных, антидемпинговых, </w:t>
            </w:r>
            <w:r>
              <w:br/>
            </w:r>
            <w:r>
              <w:rPr>
                <w:rFonts w:ascii="Times New Roman"/>
                <w:b w:val="false"/>
                <w:i w:val="false"/>
                <w:color w:val="000000"/>
                <w:sz w:val="20"/>
              </w:rPr>
              <w:t xml:space="preserve">компенсационных пошлин, а </w:t>
            </w:r>
            <w:r>
              <w:br/>
            </w:r>
            <w:r>
              <w:rPr>
                <w:rFonts w:ascii="Times New Roman"/>
                <w:b w:val="false"/>
                <w:i w:val="false"/>
                <w:color w:val="000000"/>
                <w:sz w:val="20"/>
              </w:rPr>
              <w:t xml:space="preserve">также обеспечения исполнения </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 xml:space="preserve">таможенного дела, и (или) </w:t>
            </w:r>
            <w:r>
              <w:br/>
            </w:r>
            <w:r>
              <w:rPr>
                <w:rFonts w:ascii="Times New Roman"/>
                <w:b w:val="false"/>
                <w:i w:val="false"/>
                <w:color w:val="000000"/>
                <w:sz w:val="20"/>
              </w:rPr>
              <w:t>уполномоченного экономического оператора"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894"/>
        <w:gridCol w:w="99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территориальные органы Комитета государственных доходов МФ по областям, городам Нур-Султану, Алматы и Шымкенту</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 канцелярию услугодателя или лицом, в функциональные обязанности которого входит прием и выдача корреспонденции;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регистрации заявления – не позднее 3 (трех) рабочих дней</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мотивированный ответ об отказе в оказании государственной услуги.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за исключением услугодателя для которых уполномоченным органом в сфере таможенного дела установлен круглосуточный режим работы.</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за исключением услугодателя для которых уполномоченным органом в сфере таможенного дела установлен круглосуточный режим работы.</w:t>
            </w:r>
            <w:r>
              <w:br/>
            </w: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bookmarkEnd w:id="46"/>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r>
              <w:br/>
            </w:r>
            <w:r>
              <w:rPr>
                <w:rFonts w:ascii="Times New Roman"/>
                <w:b w:val="false"/>
                <w:i w:val="false"/>
                <w:color w:val="000000"/>
                <w:sz w:val="20"/>
              </w:rPr>
              <w:t>
</w:t>
            </w:r>
            <w:r>
              <w:rPr>
                <w:rFonts w:ascii="Times New Roman"/>
                <w:b w:val="false"/>
                <w:i w:val="false"/>
                <w:color w:val="000000"/>
                <w:sz w:val="20"/>
              </w:rPr>
              <w:t>в зависимости от выбранного способа обеспечения исполнения обязанности по уплате таможенных пошлин, налогов один из следующих документов, подтверждающих такое обеспечение:</w:t>
            </w:r>
            <w:r>
              <w:br/>
            </w:r>
            <w:r>
              <w:rPr>
                <w:rFonts w:ascii="Times New Roman"/>
                <w:b w:val="false"/>
                <w:i w:val="false"/>
                <w:color w:val="000000"/>
                <w:sz w:val="20"/>
              </w:rPr>
              <w:t>
</w:t>
            </w:r>
            <w:r>
              <w:rPr>
                <w:rFonts w:ascii="Times New Roman"/>
                <w:b w:val="false"/>
                <w:i w:val="false"/>
                <w:color w:val="000000"/>
                <w:sz w:val="20"/>
              </w:rPr>
              <w:t xml:space="preserve">2) документы, указанные в подпунктах 4) и 5) </w:t>
            </w:r>
            <w:r>
              <w:rPr>
                <w:rFonts w:ascii="Times New Roman"/>
                <w:b w:val="false"/>
                <w:i w:val="false"/>
                <w:color w:val="000000"/>
                <w:sz w:val="20"/>
              </w:rPr>
              <w:t>пункта 12</w:t>
            </w:r>
            <w:r>
              <w:rPr>
                <w:rFonts w:ascii="Times New Roman"/>
                <w:b w:val="false"/>
                <w:i w:val="false"/>
                <w:color w:val="000000"/>
                <w:sz w:val="20"/>
              </w:rPr>
              <w:t xml:space="preserve"> статьи 94 Кодекса;</w:t>
            </w:r>
            <w:r>
              <w:br/>
            </w:r>
            <w:r>
              <w:rPr>
                <w:rFonts w:ascii="Times New Roman"/>
                <w:b w:val="false"/>
                <w:i w:val="false"/>
                <w:color w:val="000000"/>
                <w:sz w:val="20"/>
              </w:rPr>
              <w:t>
</w:t>
            </w:r>
            <w:r>
              <w:rPr>
                <w:rFonts w:ascii="Times New Roman"/>
                <w:b w:val="false"/>
                <w:i w:val="false"/>
                <w:color w:val="000000"/>
                <w:sz w:val="20"/>
              </w:rPr>
              <w:t>3) договор банковской гарантии, заключенного между банком второго уровня – гарантом и плательщиком, и банковской гарантии;</w:t>
            </w:r>
            <w:r>
              <w:br/>
            </w:r>
            <w:r>
              <w:rPr>
                <w:rFonts w:ascii="Times New Roman"/>
                <w:b w:val="false"/>
                <w:i w:val="false"/>
                <w:color w:val="000000"/>
                <w:sz w:val="20"/>
              </w:rPr>
              <w:t>
</w:t>
            </w:r>
            <w:r>
              <w:rPr>
                <w:rFonts w:ascii="Times New Roman"/>
                <w:b w:val="false"/>
                <w:i w:val="false"/>
                <w:color w:val="000000"/>
                <w:sz w:val="20"/>
              </w:rPr>
              <w:t>4) договор поручительства, заключенные в соответствии с гражданским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5) договор залога имущества, заключенный между плательщиком и (или) третьим лицом и услугодателем с приложением отчета оценщика об оценке рыночной стоимости залогового имущества и договор страхования имущества;</w:t>
            </w:r>
            <w:r>
              <w:br/>
            </w:r>
            <w:r>
              <w:rPr>
                <w:rFonts w:ascii="Times New Roman"/>
                <w:b w:val="false"/>
                <w:i w:val="false"/>
                <w:color w:val="000000"/>
                <w:sz w:val="20"/>
              </w:rPr>
              <w:t>
6)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47"/>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в зависимости от выбранного способа обеспечения исполнения обязанности по уплате таможенных пошлин, налогов не представлены один из следующих документов, подтверждающих такое обеспечение, а также при следующих случаях:</w:t>
            </w:r>
            <w:r>
              <w:br/>
            </w:r>
            <w:r>
              <w:rPr>
                <w:rFonts w:ascii="Times New Roman"/>
                <w:b w:val="false"/>
                <w:i w:val="false"/>
                <w:color w:val="000000"/>
                <w:sz w:val="20"/>
              </w:rPr>
              <w:t>
</w:t>
            </w:r>
            <w:r>
              <w:rPr>
                <w:rFonts w:ascii="Times New Roman"/>
                <w:b w:val="false"/>
                <w:i w:val="false"/>
                <w:color w:val="000000"/>
                <w:sz w:val="20"/>
              </w:rPr>
              <w:t>1) при использовании денег в качестве обеспечения исполнения обязанности по уплате таможенных пошлин, налогов:</w:t>
            </w:r>
            <w:r>
              <w:br/>
            </w:r>
            <w:r>
              <w:rPr>
                <w:rFonts w:ascii="Times New Roman"/>
                <w:b w:val="false"/>
                <w:i w:val="false"/>
                <w:color w:val="000000"/>
                <w:sz w:val="20"/>
              </w:rPr>
              <w:t>
</w:t>
            </w:r>
            <w:r>
              <w:rPr>
                <w:rFonts w:ascii="Times New Roman"/>
                <w:b w:val="false"/>
                <w:i w:val="false"/>
                <w:color w:val="000000"/>
                <w:sz w:val="20"/>
              </w:rPr>
              <w:t>не представлены документы, указанные в подпункте 2) пункта 8 настоящего стандарта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внесением денег,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подтверждаемый платежным документом, указанным в частях второй или третьей </w:t>
            </w:r>
            <w:r>
              <w:rPr>
                <w:rFonts w:ascii="Times New Roman"/>
                <w:b w:val="false"/>
                <w:i w:val="false"/>
                <w:color w:val="000000"/>
                <w:sz w:val="20"/>
              </w:rPr>
              <w:t>пункта 4</w:t>
            </w:r>
            <w:r>
              <w:rPr>
                <w:rFonts w:ascii="Times New Roman"/>
                <w:b w:val="false"/>
                <w:i w:val="false"/>
                <w:color w:val="000000"/>
                <w:sz w:val="20"/>
              </w:rPr>
              <w:t xml:space="preserve"> статьи 98 Кодекса;</w:t>
            </w:r>
            <w:r>
              <w:br/>
            </w:r>
            <w:r>
              <w:rPr>
                <w:rFonts w:ascii="Times New Roman"/>
                <w:b w:val="false"/>
                <w:i w:val="false"/>
                <w:color w:val="000000"/>
                <w:sz w:val="20"/>
              </w:rPr>
              <w:t>
</w:t>
            </w:r>
            <w:r>
              <w:rPr>
                <w:rFonts w:ascii="Times New Roman"/>
                <w:b w:val="false"/>
                <w:i w:val="false"/>
                <w:color w:val="000000"/>
                <w:sz w:val="20"/>
              </w:rPr>
              <w:t>2) при применении банковской гарантии в качестве обеспечения исполнения обязанности по уплате таможенных пошлин, налогов:</w:t>
            </w:r>
            <w:r>
              <w:br/>
            </w:r>
            <w:r>
              <w:rPr>
                <w:rFonts w:ascii="Times New Roman"/>
                <w:b w:val="false"/>
                <w:i w:val="false"/>
                <w:color w:val="000000"/>
                <w:sz w:val="20"/>
              </w:rPr>
              <w:t>
</w:t>
            </w:r>
            <w:r>
              <w:rPr>
                <w:rFonts w:ascii="Times New Roman"/>
                <w:b w:val="false"/>
                <w:i w:val="false"/>
                <w:color w:val="000000"/>
                <w:sz w:val="20"/>
              </w:rPr>
              <w:t>не представлены документы, указанные в подпункте 3) пункта 8 настоящего стандарта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предоставленный договор банковской гарантии и (или) банковская гарантия не соответствуют требованиям, установленным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статьей 104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99 Кодекса, подтверждаемый банковской гарантией;</w:t>
            </w:r>
            <w:r>
              <w:br/>
            </w:r>
            <w:r>
              <w:rPr>
                <w:rFonts w:ascii="Times New Roman"/>
                <w:b w:val="false"/>
                <w:i w:val="false"/>
                <w:color w:val="000000"/>
                <w:sz w:val="20"/>
              </w:rPr>
              <w:t>
</w:t>
            </w:r>
            <w:r>
              <w:rPr>
                <w:rFonts w:ascii="Times New Roman"/>
                <w:b w:val="false"/>
                <w:i w:val="false"/>
                <w:color w:val="000000"/>
                <w:sz w:val="20"/>
              </w:rPr>
              <w:t xml:space="preserve">договор банковской гарантии и (или) банковская гарантия не соответствуют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Кодекса;</w:t>
            </w:r>
            <w:r>
              <w:br/>
            </w:r>
            <w:r>
              <w:rPr>
                <w:rFonts w:ascii="Times New Roman"/>
                <w:b w:val="false"/>
                <w:i w:val="false"/>
                <w:color w:val="000000"/>
                <w:sz w:val="20"/>
              </w:rPr>
              <w:t>
</w:t>
            </w:r>
            <w:r>
              <w:rPr>
                <w:rFonts w:ascii="Times New Roman"/>
                <w:b w:val="false"/>
                <w:i w:val="false"/>
                <w:color w:val="000000"/>
                <w:sz w:val="20"/>
              </w:rPr>
              <w:t>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3) при применении договора поручительства в качестве обеспечения исполнения обязанности по уплате таможенных пошлин, налогов:</w:t>
            </w:r>
            <w:r>
              <w:br/>
            </w:r>
            <w:r>
              <w:rPr>
                <w:rFonts w:ascii="Times New Roman"/>
                <w:b w:val="false"/>
                <w:i w:val="false"/>
                <w:color w:val="000000"/>
                <w:sz w:val="20"/>
              </w:rPr>
              <w:t>
</w:t>
            </w:r>
            <w:r>
              <w:rPr>
                <w:rFonts w:ascii="Times New Roman"/>
                <w:b w:val="false"/>
                <w:i w:val="false"/>
                <w:color w:val="000000"/>
                <w:sz w:val="20"/>
              </w:rPr>
              <w:t>не представлены документы, указанные в подпункте 4) пункта 8 настоящего стандарта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представленный договор поручительства не соответствует Гражданскому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99 Кодекса оснований для отказа в принятии представленной к договору поручительства банковской гарантии;</w:t>
            </w:r>
            <w:r>
              <w:br/>
            </w:r>
            <w:r>
              <w:rPr>
                <w:rFonts w:ascii="Times New Roman"/>
                <w:b w:val="false"/>
                <w:i w:val="false"/>
                <w:color w:val="000000"/>
                <w:sz w:val="20"/>
              </w:rPr>
              <w:t>
</w:t>
            </w:r>
            <w:r>
              <w:rPr>
                <w:rFonts w:ascii="Times New Roman"/>
                <w:b w:val="false"/>
                <w:i w:val="false"/>
                <w:color w:val="000000"/>
                <w:sz w:val="20"/>
              </w:rPr>
              <w:t xml:space="preserve">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r>
              <w:br/>
            </w:r>
            <w:r>
              <w:rPr>
                <w:rFonts w:ascii="Times New Roman"/>
                <w:b w:val="false"/>
                <w:i w:val="false"/>
                <w:color w:val="000000"/>
                <w:sz w:val="20"/>
              </w:rPr>
              <w:t>
</w:t>
            </w:r>
            <w:r>
              <w:rPr>
                <w:rFonts w:ascii="Times New Roman"/>
                <w:b w:val="false"/>
                <w:i w:val="false"/>
                <w:color w:val="000000"/>
                <w:sz w:val="20"/>
              </w:rPr>
              <w:t xml:space="preserve">при наличии определенных </w:t>
            </w:r>
            <w:r>
              <w:rPr>
                <w:rFonts w:ascii="Times New Roman"/>
                <w:b w:val="false"/>
                <w:i w:val="false"/>
                <w:color w:val="000000"/>
                <w:sz w:val="20"/>
              </w:rPr>
              <w:t>пунктом 2</w:t>
            </w:r>
            <w:r>
              <w:rPr>
                <w:rFonts w:ascii="Times New Roman"/>
                <w:b w:val="false"/>
                <w:i w:val="false"/>
                <w:color w:val="000000"/>
                <w:sz w:val="20"/>
              </w:rPr>
              <w:t xml:space="preserve"> статьи 102 Кодекса оснований для отказа в принятии представленного к договору поручительства договора страхования;</w:t>
            </w:r>
            <w:r>
              <w:br/>
            </w:r>
            <w:r>
              <w:rPr>
                <w:rFonts w:ascii="Times New Roman"/>
                <w:b w:val="false"/>
                <w:i w:val="false"/>
                <w:color w:val="000000"/>
                <w:sz w:val="20"/>
              </w:rPr>
              <w:t>
</w:t>
            </w:r>
            <w:r>
              <w:rPr>
                <w:rFonts w:ascii="Times New Roman"/>
                <w:b w:val="false"/>
                <w:i w:val="false"/>
                <w:color w:val="000000"/>
                <w:sz w:val="20"/>
              </w:rPr>
              <w:t>поручителем не обеспечено исполнение обязанности по уплате таможенных пошлин, налогов;</w:t>
            </w:r>
            <w:r>
              <w:br/>
            </w: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с учетом части третьей </w:t>
            </w:r>
            <w:r>
              <w:rPr>
                <w:rFonts w:ascii="Times New Roman"/>
                <w:b w:val="false"/>
                <w:i w:val="false"/>
                <w:color w:val="000000"/>
                <w:sz w:val="20"/>
              </w:rPr>
              <w:t>пункта 2</w:t>
            </w:r>
            <w:r>
              <w:rPr>
                <w:rFonts w:ascii="Times New Roman"/>
                <w:b w:val="false"/>
                <w:i w:val="false"/>
                <w:color w:val="000000"/>
                <w:sz w:val="20"/>
              </w:rPr>
              <w:t xml:space="preserve"> статьи 100 Кодекса, подтверждаемый договором поручительства;</w:t>
            </w:r>
            <w:r>
              <w:br/>
            </w:r>
            <w:r>
              <w:rPr>
                <w:rFonts w:ascii="Times New Roman"/>
                <w:b w:val="false"/>
                <w:i w:val="false"/>
                <w:color w:val="000000"/>
                <w:sz w:val="20"/>
              </w:rPr>
              <w:t>
</w:t>
            </w:r>
            <w:r>
              <w:rPr>
                <w:rFonts w:ascii="Times New Roman"/>
                <w:b w:val="false"/>
                <w:i w:val="false"/>
                <w:color w:val="000000"/>
                <w:sz w:val="20"/>
              </w:rPr>
              <w:t>4) при применении залога имущества в качестве обеспечения исполнения обязанности по уплате таможенных пошлин, налогов:</w:t>
            </w:r>
            <w:r>
              <w:br/>
            </w:r>
            <w:r>
              <w:rPr>
                <w:rFonts w:ascii="Times New Roman"/>
                <w:b w:val="false"/>
                <w:i w:val="false"/>
                <w:color w:val="000000"/>
                <w:sz w:val="20"/>
              </w:rPr>
              <w:t>
</w:t>
            </w:r>
            <w:r>
              <w:rPr>
                <w:rFonts w:ascii="Times New Roman"/>
                <w:b w:val="false"/>
                <w:i w:val="false"/>
                <w:color w:val="000000"/>
                <w:sz w:val="20"/>
              </w:rPr>
              <w:t>не представлены документы, указанные в подпункте 5) пункта 8 настоящего стандарта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договор залога имущества не соответствует требованиям, установленным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имущество, предоставляемое в залог, не является ликвидным, застрахованным от утраты или повреждения;</w:t>
            </w:r>
            <w:r>
              <w:br/>
            </w:r>
            <w:r>
              <w:rPr>
                <w:rFonts w:ascii="Times New Roman"/>
                <w:b w:val="false"/>
                <w:i w:val="false"/>
                <w:color w:val="000000"/>
                <w:sz w:val="20"/>
              </w:rPr>
              <w:t>
</w:t>
            </w:r>
            <w:r>
              <w:rPr>
                <w:rFonts w:ascii="Times New Roman"/>
                <w:b w:val="false"/>
                <w:i w:val="false"/>
                <w:color w:val="000000"/>
                <w:sz w:val="20"/>
              </w:rPr>
              <w:t xml:space="preserve">договор залога имущества не соответствует условиям, установленным </w:t>
            </w:r>
            <w:r>
              <w:rPr>
                <w:rFonts w:ascii="Times New Roman"/>
                <w:b w:val="false"/>
                <w:i w:val="false"/>
                <w:color w:val="000000"/>
                <w:sz w:val="20"/>
              </w:rPr>
              <w:t>пунктами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статьи 97 Кодекса;</w:t>
            </w:r>
            <w:r>
              <w:br/>
            </w:r>
            <w:r>
              <w:rPr>
                <w:rFonts w:ascii="Times New Roman"/>
                <w:b w:val="false"/>
                <w:i w:val="false"/>
                <w:color w:val="000000"/>
                <w:sz w:val="20"/>
              </w:rPr>
              <w:t>
</w:t>
            </w:r>
            <w:r>
              <w:rPr>
                <w:rFonts w:ascii="Times New Roman"/>
                <w:b w:val="false"/>
                <w:i w:val="false"/>
                <w:color w:val="000000"/>
                <w:sz w:val="20"/>
              </w:rPr>
              <w:t xml:space="preserve">при несоблюдении условий, установленных </w:t>
            </w:r>
            <w:r>
              <w:rPr>
                <w:rFonts w:ascii="Times New Roman"/>
                <w:b w:val="false"/>
                <w:i w:val="false"/>
                <w:color w:val="000000"/>
                <w:sz w:val="20"/>
              </w:rPr>
              <w:t>пунктом 4</w:t>
            </w:r>
            <w:r>
              <w:rPr>
                <w:rFonts w:ascii="Times New Roman"/>
                <w:b w:val="false"/>
                <w:i w:val="false"/>
                <w:color w:val="000000"/>
                <w:sz w:val="20"/>
              </w:rPr>
              <w:t xml:space="preserve"> статьи 101 Кодекса;</w:t>
            </w:r>
            <w:r>
              <w:br/>
            </w:r>
            <w:r>
              <w:rPr>
                <w:rFonts w:ascii="Times New Roman"/>
                <w:b w:val="false"/>
                <w:i w:val="false"/>
                <w:color w:val="000000"/>
                <w:sz w:val="20"/>
              </w:rPr>
              <w:t>
</w:t>
            </w:r>
            <w:r>
              <w:rPr>
                <w:rFonts w:ascii="Times New Roman"/>
                <w:b w:val="false"/>
                <w:i w:val="false"/>
                <w:color w:val="000000"/>
                <w:sz w:val="20"/>
              </w:rPr>
              <w:t>5) при применении договора страхования в качестве обеспечения исполнения обязанности по уплате таможенных пошлин, налогов:</w:t>
            </w:r>
            <w:r>
              <w:br/>
            </w:r>
            <w:r>
              <w:rPr>
                <w:rFonts w:ascii="Times New Roman"/>
                <w:b w:val="false"/>
                <w:i w:val="false"/>
                <w:color w:val="000000"/>
                <w:sz w:val="20"/>
              </w:rPr>
              <w:t>
</w:t>
            </w:r>
            <w:r>
              <w:rPr>
                <w:rFonts w:ascii="Times New Roman"/>
                <w:b w:val="false"/>
                <w:i w:val="false"/>
                <w:color w:val="000000"/>
                <w:sz w:val="20"/>
              </w:rPr>
              <w:t>не представлены документы, указанные в подпункте 6) пункта 8 настоящего стандарта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26 февраля 2018 года № 295 "Об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 (зарегистрирован в Реестре государственной регистрации нормативных правовых актов под № 16661) или в случае если представленный договор страхования не соответствует требованиям, установленным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0"/>
              </w:rPr>
              <w:t>статьей 104</w:t>
            </w:r>
            <w:r>
              <w:rPr>
                <w:rFonts w:ascii="Times New Roman"/>
                <w:b w:val="false"/>
                <w:i w:val="false"/>
                <w:color w:val="000000"/>
                <w:sz w:val="20"/>
              </w:rPr>
              <w:t xml:space="preserve"> Кодекса с учетом положений </w:t>
            </w:r>
            <w:r>
              <w:rPr>
                <w:rFonts w:ascii="Times New Roman"/>
                <w:b w:val="false"/>
                <w:i w:val="false"/>
                <w:color w:val="000000"/>
                <w:sz w:val="20"/>
              </w:rPr>
              <w:t>пункта 3</w:t>
            </w:r>
            <w:r>
              <w:rPr>
                <w:rFonts w:ascii="Times New Roman"/>
                <w:b w:val="false"/>
                <w:i w:val="false"/>
                <w:color w:val="000000"/>
                <w:sz w:val="20"/>
              </w:rPr>
              <w:t xml:space="preserve"> статьи 102 Кодекса, подтверждаемый договором страхования;</w:t>
            </w:r>
            <w:r>
              <w:br/>
            </w:r>
            <w:r>
              <w:rPr>
                <w:rFonts w:ascii="Times New Roman"/>
                <w:b w:val="false"/>
                <w:i w:val="false"/>
                <w:color w:val="000000"/>
                <w:sz w:val="20"/>
              </w:rPr>
              <w:t>
</w:t>
            </w:r>
            <w:r>
              <w:rPr>
                <w:rFonts w:ascii="Times New Roman"/>
                <w:b w:val="false"/>
                <w:i w:val="false"/>
                <w:color w:val="000000"/>
                <w:sz w:val="20"/>
              </w:rPr>
              <w:t>договор страхования не соответствует условиям, установленным пунктами 5 и 6 статьи 97 Кодекса;</w:t>
            </w:r>
            <w:r>
              <w:br/>
            </w:r>
            <w:r>
              <w:rPr>
                <w:rFonts w:ascii="Times New Roman"/>
                <w:b w:val="false"/>
                <w:i w:val="false"/>
                <w:color w:val="000000"/>
                <w:sz w:val="20"/>
              </w:rPr>
              <w:t>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48"/>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 услугодателя – www.kgd.gov.kz, www.minfin.gov.kz.</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w:t>
            </w:r>
            <w:r>
              <w:br/>
            </w:r>
            <w:r>
              <w:rPr>
                <w:rFonts w:ascii="Times New Roman"/>
                <w:b w:val="false"/>
                <w:i w:val="false"/>
                <w:color w:val="000000"/>
                <w:sz w:val="20"/>
              </w:rPr>
              <w:t>
3) Контактные телефоны Единого контакт-центра: 1414, 8-800-080-7777.</w:t>
            </w:r>
          </w:p>
          <w:bookmarkEnd w:id="4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"Регистрация исполнения </w:t>
            </w:r>
            <w:r>
              <w:br/>
            </w:r>
            <w:r>
              <w:rPr>
                <w:rFonts w:ascii="Times New Roman"/>
                <w:b w:val="false"/>
                <w:i w:val="false"/>
                <w:color w:val="000000"/>
                <w:sz w:val="20"/>
              </w:rPr>
              <w:t xml:space="preserve">обязанности по уплате </w:t>
            </w:r>
            <w:r>
              <w:br/>
            </w:r>
            <w:r>
              <w:rPr>
                <w:rFonts w:ascii="Times New Roman"/>
                <w:b w:val="false"/>
                <w:i w:val="false"/>
                <w:color w:val="000000"/>
                <w:sz w:val="20"/>
              </w:rPr>
              <w:t xml:space="preserve">таможенных пошлин, налогов, </w:t>
            </w:r>
            <w:r>
              <w:br/>
            </w:r>
            <w:r>
              <w:rPr>
                <w:rFonts w:ascii="Times New Roman"/>
                <w:b w:val="false"/>
                <w:i w:val="false"/>
                <w:color w:val="000000"/>
                <w:sz w:val="20"/>
              </w:rPr>
              <w:t xml:space="preserve">специальных, антидемпинговых, </w:t>
            </w:r>
            <w:r>
              <w:br/>
            </w:r>
            <w:r>
              <w:rPr>
                <w:rFonts w:ascii="Times New Roman"/>
                <w:b w:val="false"/>
                <w:i w:val="false"/>
                <w:color w:val="000000"/>
                <w:sz w:val="20"/>
              </w:rPr>
              <w:t xml:space="preserve">компенсационных пошлин, а </w:t>
            </w:r>
            <w:r>
              <w:br/>
            </w:r>
            <w:r>
              <w:rPr>
                <w:rFonts w:ascii="Times New Roman"/>
                <w:b w:val="false"/>
                <w:i w:val="false"/>
                <w:color w:val="000000"/>
                <w:sz w:val="20"/>
              </w:rPr>
              <w:t xml:space="preserve">также обеспечения исполнения </w:t>
            </w:r>
            <w:r>
              <w:br/>
            </w:r>
            <w:r>
              <w:rPr>
                <w:rFonts w:ascii="Times New Roman"/>
                <w:b w:val="false"/>
                <w:i w:val="false"/>
                <w:color w:val="000000"/>
                <w:sz w:val="20"/>
              </w:rPr>
              <w:t xml:space="preserve">обязанностей юридического </w:t>
            </w:r>
            <w:r>
              <w:br/>
            </w:r>
            <w:r>
              <w:rPr>
                <w:rFonts w:ascii="Times New Roman"/>
                <w:b w:val="false"/>
                <w:i w:val="false"/>
                <w:color w:val="000000"/>
                <w:sz w:val="20"/>
              </w:rPr>
              <w:t xml:space="preserve">лица, осуществляющего </w:t>
            </w:r>
            <w:r>
              <w:br/>
            </w:r>
            <w:r>
              <w:rPr>
                <w:rFonts w:ascii="Times New Roman"/>
                <w:b w:val="false"/>
                <w:i w:val="false"/>
                <w:color w:val="000000"/>
                <w:sz w:val="20"/>
              </w:rPr>
              <w:t xml:space="preserve">деятельность в сфере </w:t>
            </w:r>
            <w:r>
              <w:br/>
            </w:r>
            <w:r>
              <w:rPr>
                <w:rFonts w:ascii="Times New Roman"/>
                <w:b w:val="false"/>
                <w:i w:val="false"/>
                <w:color w:val="000000"/>
                <w:sz w:val="20"/>
              </w:rPr>
              <w:t xml:space="preserve">таможенного дела, и (или) </w:t>
            </w:r>
            <w:r>
              <w:br/>
            </w:r>
            <w:r>
              <w:rPr>
                <w:rFonts w:ascii="Times New Roman"/>
                <w:b w:val="false"/>
                <w:i w:val="false"/>
                <w:color w:val="000000"/>
                <w:sz w:val="20"/>
              </w:rPr>
              <w:t>уполномоченного экономического оператора"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(полное наименование </w:t>
            </w:r>
            <w:r>
              <w:br/>
            </w:r>
            <w:r>
              <w:rPr>
                <w:rFonts w:ascii="Times New Roman"/>
                <w:b w:val="false"/>
                <w:i w:val="false"/>
                <w:color w:val="000000"/>
                <w:sz w:val="20"/>
              </w:rPr>
              <w:t xml:space="preserve">юридического или фамилия, </w:t>
            </w:r>
            <w:r>
              <w:br/>
            </w:r>
            <w:r>
              <w:rPr>
                <w:rFonts w:ascii="Times New Roman"/>
                <w:b w:val="false"/>
                <w:i w:val="false"/>
                <w:color w:val="000000"/>
                <w:sz w:val="20"/>
              </w:rPr>
              <w:t xml:space="preserve">имя, отчество (если оно указано </w:t>
            </w:r>
            <w:r>
              <w:br/>
            </w:r>
            <w:r>
              <w:rPr>
                <w:rFonts w:ascii="Times New Roman"/>
                <w:b w:val="false"/>
                <w:i w:val="false"/>
                <w:color w:val="000000"/>
                <w:sz w:val="20"/>
              </w:rPr>
              <w:t xml:space="preserve">в документе, удостоверяющем </w:t>
            </w:r>
            <w:r>
              <w:br/>
            </w:r>
            <w:r>
              <w:rPr>
                <w:rFonts w:ascii="Times New Roman"/>
                <w:b w:val="false"/>
                <w:i w:val="false"/>
                <w:color w:val="000000"/>
                <w:sz w:val="20"/>
              </w:rPr>
              <w:t>личность)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(фактический адрес или </w:t>
            </w:r>
            <w:r>
              <w:br/>
            </w:r>
            <w:r>
              <w:rPr>
                <w:rFonts w:ascii="Times New Roman"/>
                <w:b w:val="false"/>
                <w:i w:val="false"/>
                <w:color w:val="000000"/>
                <w:sz w:val="20"/>
              </w:rPr>
              <w:t>место жительства)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(бизнес-идентификационный </w:t>
            </w:r>
            <w:r>
              <w:br/>
            </w:r>
            <w:r>
              <w:rPr>
                <w:rFonts w:ascii="Times New Roman"/>
                <w:b w:val="false"/>
                <w:i w:val="false"/>
                <w:color w:val="000000"/>
                <w:sz w:val="20"/>
              </w:rPr>
              <w:t xml:space="preserve">номер или индивидуальный </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органа </w:t>
            </w:r>
            <w:r>
              <w:br/>
            </w:r>
            <w:r>
              <w:rPr>
                <w:rFonts w:ascii="Times New Roman"/>
                <w:b w:val="false"/>
                <w:i w:val="false"/>
                <w:color w:val="000000"/>
                <w:sz w:val="20"/>
              </w:rPr>
              <w:t>государственных доходов)</w:t>
            </w:r>
          </w:p>
        </w:tc>
      </w:tr>
    </w:tbl>
    <w:bookmarkStart w:name="z100" w:id="50"/>
    <w:p>
      <w:pPr>
        <w:spacing w:after="0"/>
        <w:ind w:left="0"/>
        <w:jc w:val="left"/>
      </w:pPr>
      <w:r>
        <w:rPr>
          <w:rFonts w:ascii="Times New Roman"/>
          <w:b/>
          <w:i w:val="false"/>
          <w:color w:val="000000"/>
        </w:rPr>
        <w:t xml:space="preserve"> Заявление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50"/>
    <w:bookmarkStart w:name="z101" w:id="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98 </w:t>
      </w:r>
    </w:p>
    <w:bookmarkEnd w:id="51"/>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99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пунктом 1</w:t>
      </w:r>
      <w:r>
        <w:rPr>
          <w:rFonts w:ascii="Times New Roman"/>
          <w:b w:val="false"/>
          <w:i w:val="false"/>
          <w:color w:val="000000"/>
          <w:sz w:val="28"/>
        </w:rPr>
        <w:t xml:space="preserve"> статьи 100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val="false"/>
          <w:color w:val="000000"/>
          <w:sz w:val="28"/>
        </w:rPr>
        <w:t>пунктом 1</w:t>
      </w:r>
      <w:r>
        <w:rPr>
          <w:rFonts w:ascii="Times New Roman"/>
          <w:b w:val="false"/>
          <w:i w:val="false"/>
          <w:color w:val="000000"/>
          <w:sz w:val="28"/>
        </w:rPr>
        <w:t xml:space="preserve"> статьи 101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102 </w:t>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(далее – Кодекс) прошу принять обеспечение исполнения обязанности по уплате таможенных пошлин, налогов (далее – обеспечение исполнения обязанности).</w:t>
      </w:r>
      <w:r>
        <w:br/>
      </w:r>
      <w:r>
        <w:rPr>
          <w:rFonts w:ascii="Times New Roman"/>
          <w:b w:val="false"/>
          <w:i w:val="false"/>
          <w:color w:val="000000"/>
          <w:sz w:val="28"/>
        </w:rPr>
        <w:t>
</w:t>
      </w:r>
    </w:p>
    <w:bookmarkStart w:name="z102" w:id="52"/>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52"/>
    <w:bookmarkStart w:name="z103" w:id="53"/>
    <w:p>
      <w:pPr>
        <w:spacing w:after="0"/>
        <w:ind w:left="0"/>
        <w:jc w:val="both"/>
      </w:pPr>
      <w:r>
        <w:rPr>
          <w:rFonts w:ascii="Times New Roman"/>
          <w:b w:val="false"/>
          <w:i w:val="false"/>
          <w:color w:val="000000"/>
          <w:sz w:val="28"/>
        </w:rPr>
        <w:t>
      день регистрации уполномоченным органом уведомления о соблюдении условий включения в реестр уполномоченных экономических операторов (заполняется лицом, претендующим на включение в реестр уполномоченных экономических операторов) ____________________________________________</w:t>
      </w:r>
    </w:p>
    <w:bookmarkEnd w:id="53"/>
    <w:bookmarkStart w:name="z104" w:id="54"/>
    <w:p>
      <w:pPr>
        <w:spacing w:after="0"/>
        <w:ind w:left="0"/>
        <w:jc w:val="both"/>
      </w:pPr>
      <w:r>
        <w:rPr>
          <w:rFonts w:ascii="Times New Roman"/>
          <w:b w:val="false"/>
          <w:i w:val="false"/>
          <w:color w:val="000000"/>
          <w:sz w:val="28"/>
        </w:rPr>
        <w:t>
      Является ли данное обеспечение генеральным обеспечением исполнения обязанности по уплате таможенных пошлин, налогов</w:t>
      </w:r>
    </w:p>
    <w:bookmarkEnd w:id="54"/>
    <w:bookmarkStart w:name="z10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да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нет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6"/>
        <w:gridCol w:w="1531"/>
        <w:gridCol w:w="1258"/>
        <w:gridCol w:w="390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(способы) обеспечения исполнения обязанности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обеспечения исполнения обязанности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обеспечения исполнения обязанности</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 и дата документа, подтверждающего обеспечение исполнения обязанности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1 статьи 97 Кодекса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1 статьи 97 Кодекса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1 статьи 97 Кодекса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1 статьи 97 Кодекса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1 статьи 97 Кодекса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6"/>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таможенной операции</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194</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195</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196</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226</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257</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354</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387</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1) пункта 2 </w:t>
            </w:r>
            <w:r>
              <w:rPr>
                <w:rFonts w:ascii="Times New Roman"/>
                <w:b w:val="false"/>
                <w:i w:val="false"/>
                <w:color w:val="000000"/>
                <w:sz w:val="20"/>
              </w:rPr>
              <w:t>статьи 96</w:t>
            </w:r>
            <w:r>
              <w:rPr>
                <w:rFonts w:ascii="Times New Roman"/>
                <w:b w:val="false"/>
                <w:i w:val="false"/>
                <w:color w:val="000000"/>
                <w:sz w:val="20"/>
              </w:rPr>
              <w:t xml:space="preserve">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2 статьи 96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2 статьи 96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2 статьи 96 Кодекса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2 статьи 96 Кодекса</w:t>
            </w:r>
          </w:p>
        </w:tc>
      </w:tr>
    </w:tbl>
    <w:bookmarkStart w:name="z107" w:id="57"/>
    <w:p>
      <w:pPr>
        <w:spacing w:after="0"/>
        <w:ind w:left="0"/>
        <w:jc w:val="both"/>
      </w:pPr>
      <w:r>
        <w:rPr>
          <w:rFonts w:ascii="Times New Roman"/>
          <w:b w:val="false"/>
          <w:i w:val="false"/>
          <w:color w:val="000000"/>
          <w:sz w:val="28"/>
        </w:rPr>
        <w:t>
      Отмечается знаком Х одна или несколько из соответствующих ячеек:</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6"/>
        <w:gridCol w:w="1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реестр:</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представителей</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таможенных перевозчиков</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уполномоченных экономических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заполняются в случае необходимости оформления сертификата обеспечения</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отправления, который совершает таможенные операции, связанные с помещением товаров под таможенную процедуру таможенного транзита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предшествующего сертификата обеспечения (при наличии)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коммерческих и транспортных (перевозочных) документах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58"/>
    <w:p>
      <w:pPr>
        <w:spacing w:after="0"/>
        <w:ind w:left="0"/>
        <w:jc w:val="both"/>
      </w:pPr>
      <w:r>
        <w:rPr>
          <w:rFonts w:ascii="Times New Roman"/>
          <w:b w:val="false"/>
          <w:i w:val="false"/>
          <w:color w:val="000000"/>
          <w:sz w:val="28"/>
        </w:rPr>
        <w:t>
      К настоящему заявлению прилагаем:</w:t>
      </w:r>
    </w:p>
    <w:bookmarkEnd w:id="58"/>
    <w:bookmarkStart w:name="z109" w:id="59"/>
    <w:p>
      <w:pPr>
        <w:spacing w:after="0"/>
        <w:ind w:left="0"/>
        <w:jc w:val="both"/>
      </w:pPr>
      <w:r>
        <w:rPr>
          <w:rFonts w:ascii="Times New Roman"/>
          <w:b w:val="false"/>
          <w:i w:val="false"/>
          <w:color w:val="000000"/>
          <w:sz w:val="28"/>
        </w:rPr>
        <w:t>
      в зависимости от выбранного способа (способов) обеспечения исполнения обязанности по уплате таможенных пошлин, налогов:</w:t>
      </w:r>
    </w:p>
    <w:bookmarkEnd w:id="59"/>
    <w:bookmarkStart w:name="z110" w:id="60"/>
    <w:p>
      <w:pPr>
        <w:spacing w:after="0"/>
        <w:ind w:left="0"/>
        <w:jc w:val="both"/>
      </w:pPr>
      <w:r>
        <w:rPr>
          <w:rFonts w:ascii="Times New Roman"/>
          <w:b w:val="false"/>
          <w:i w:val="false"/>
          <w:color w:val="000000"/>
          <w:sz w:val="28"/>
        </w:rPr>
        <w:t xml:space="preserve">
      1) документы, указанные в подпунктах 4) и 5) </w:t>
      </w:r>
      <w:r>
        <w:rPr>
          <w:rFonts w:ascii="Times New Roman"/>
          <w:b w:val="false"/>
          <w:i w:val="false"/>
          <w:color w:val="000000"/>
          <w:sz w:val="28"/>
        </w:rPr>
        <w:t>пункта 12</w:t>
      </w:r>
      <w:r>
        <w:rPr>
          <w:rFonts w:ascii="Times New Roman"/>
          <w:b w:val="false"/>
          <w:i w:val="false"/>
          <w:color w:val="000000"/>
          <w:sz w:val="28"/>
        </w:rPr>
        <w:t xml:space="preserve"> статьи 94 Кодекса;</w:t>
      </w:r>
    </w:p>
    <w:bookmarkEnd w:id="60"/>
    <w:bookmarkStart w:name="z111" w:id="61"/>
    <w:p>
      <w:pPr>
        <w:spacing w:after="0"/>
        <w:ind w:left="0"/>
        <w:jc w:val="both"/>
      </w:pPr>
      <w:r>
        <w:rPr>
          <w:rFonts w:ascii="Times New Roman"/>
          <w:b w:val="false"/>
          <w:i w:val="false"/>
          <w:color w:val="000000"/>
          <w:sz w:val="28"/>
        </w:rPr>
        <w:t>
      2) договор банковской гарантии, заключенный между банком-гарантом и плательщиком, и банковская гарантия;</w:t>
      </w:r>
    </w:p>
    <w:bookmarkEnd w:id="61"/>
    <w:bookmarkStart w:name="z112" w:id="62"/>
    <w:p>
      <w:pPr>
        <w:spacing w:after="0"/>
        <w:ind w:left="0"/>
        <w:jc w:val="both"/>
      </w:pPr>
      <w:r>
        <w:rPr>
          <w:rFonts w:ascii="Times New Roman"/>
          <w:b w:val="false"/>
          <w:i w:val="false"/>
          <w:color w:val="000000"/>
          <w:sz w:val="28"/>
        </w:rPr>
        <w:t>
      3) договор поручительства, заключенные в соответствии с гражданским законодательством Республики Казахстан;</w:t>
      </w:r>
    </w:p>
    <w:bookmarkEnd w:id="62"/>
    <w:bookmarkStart w:name="z113" w:id="63"/>
    <w:p>
      <w:pPr>
        <w:spacing w:after="0"/>
        <w:ind w:left="0"/>
        <w:jc w:val="both"/>
      </w:pPr>
      <w:r>
        <w:rPr>
          <w:rFonts w:ascii="Times New Roman"/>
          <w:b w:val="false"/>
          <w:i w:val="false"/>
          <w:color w:val="000000"/>
          <w:sz w:val="28"/>
        </w:rPr>
        <w:t>
      4) договор залога имущества, отчет оценщика об оценке рыночной стоимости залогового имущества и договора страхования имущества;</w:t>
      </w:r>
    </w:p>
    <w:bookmarkEnd w:id="63"/>
    <w:bookmarkStart w:name="z114" w:id="64"/>
    <w:p>
      <w:pPr>
        <w:spacing w:after="0"/>
        <w:ind w:left="0"/>
        <w:jc w:val="both"/>
      </w:pPr>
      <w:r>
        <w:rPr>
          <w:rFonts w:ascii="Times New Roman"/>
          <w:b w:val="false"/>
          <w:i w:val="false"/>
          <w:color w:val="000000"/>
          <w:sz w:val="28"/>
        </w:rPr>
        <w:t>
      5) договор страхования,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64"/>
    <w:bookmarkStart w:name="z115" w:id="65"/>
    <w:p>
      <w:pPr>
        <w:spacing w:after="0"/>
        <w:ind w:left="0"/>
        <w:jc w:val="both"/>
      </w:pPr>
      <w:r>
        <w:rPr>
          <w:rFonts w:ascii="Times New Roman"/>
          <w:b w:val="false"/>
          <w:i w:val="false"/>
          <w:color w:val="000000"/>
          <w:sz w:val="28"/>
        </w:rPr>
        <w:t>
      Приложение: на ____листе (-ах).</w:t>
      </w:r>
    </w:p>
    <w:bookmarkEnd w:id="65"/>
    <w:bookmarkStart w:name="z116" w:id="66"/>
    <w:p>
      <w:pPr>
        <w:spacing w:after="0"/>
        <w:ind w:left="0"/>
        <w:jc w:val="both"/>
      </w:pPr>
      <w:r>
        <w:rPr>
          <w:rFonts w:ascii="Times New Roman"/>
          <w:b w:val="false"/>
          <w:i w:val="false"/>
          <w:color w:val="000000"/>
          <w:sz w:val="28"/>
        </w:rPr>
        <w:t>
      Дата подачи: ____________________</w:t>
      </w:r>
    </w:p>
    <w:bookmarkEnd w:id="66"/>
    <w:bookmarkStart w:name="z117" w:id="67"/>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физического лица или представителя юридического лица____________</w:t>
      </w:r>
    </w:p>
    <w:bookmarkEnd w:id="67"/>
    <w:bookmarkStart w:name="z118" w:id="68"/>
    <w:p>
      <w:pPr>
        <w:spacing w:after="0"/>
        <w:ind w:left="0"/>
        <w:jc w:val="both"/>
      </w:pPr>
      <w:r>
        <w:rPr>
          <w:rFonts w:ascii="Times New Roman"/>
          <w:b w:val="false"/>
          <w:i w:val="false"/>
          <w:color w:val="000000"/>
          <w:sz w:val="28"/>
        </w:rPr>
        <w:t>
      Подпись ________________</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