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c855" w14:textId="ac1c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546 "Об утверждении Правил перевозок грузов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сентября 2020 года № 450. Зарегистрирован в Министерстве юстиции Республики Казахстан 5 сентября 2020 года № 21175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за № 12463, опубликованный 20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Перевозка грузов оформляется товарно-транспортными накладными, а в случаях перевозки некоторых видов грузов, перевозимых насыпью (навалом), может оформляться актом замера или актом взвешивания.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автотранспортных средств с оплатой по повременному тарифу (оплата работы автотранспортного средства производится из почасового расчета в течение одного рабочего дня (смены), оформляется записями в путевом листе по форме № 4-п,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пробега и времени нахождения автотранспортного средства в распоряжении грузоотправителя (грузополучателя) за вычетом времени обеденного перерыва водителя.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автотранспортных средств с оплатой их работы по сдельному тарифу (оплата работы автотранспортного средства производится за перевезенные тонны) оформляется записями грузоотправителя (грузополучателя) в путевом листе по форме № 4-с,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товарно-транспортных накладных, путевого листа грузоотправителям (грузополучателям) производится на бумажном носителе или в форме электронного документа подписанный электронной цифровой подписью.";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Путевые листы оформляются перевозчиком на одну смену (рейс) с указанием даты выдачи, подписью уполномоченного лица перевозчика, штампом или печатью перевозчика, по форме № 4-п и № 4-с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(штампа) для юридических лиц, относящихся к субъектам частного предпринимательства.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путевого листа в электронном формате, информация указанная в первом абзаце настоящего пункта вносится в него в электронном виде и заверяется электронной цифровой подписью перевозчика.";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При переадресовке груза в товарно-транспортной накладной в графе "переадресовка" указываются наименование и адрес нового грузополучателя в соответствии с распоряжением о переадресовке. Изменения, внесенные в товарно-транспортную накладную, заверяются подписью грузоотправителя и (или) его печатью (штампом) на бумажном носителе или электронно цифровой подписью при оформлении в форме электронного документа.";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"134. Указанные в пункте 133 настоящих Правил записи в товарно-транспортной накладной заверяются подписями грузоотправителя (грузополучателя) и водителя на бумажном носителе или электронно цифровой подписью грузоотправителя (грузополучателя) при оформлении в форме электронного документа. Односторонние записи в товарно-транспортной накладной, как грузоотправителя (грузополучателя), так и водителя являются недействительными,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инфрастуктурного развития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