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928ea" w14:textId="41928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Межотраслевых типовых нормативов численности работников служб охраны труда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2 сентября 2020 года № 349. Зарегистрирован в Министерстве юстиции Республики Казахстан 3 сентября 2020 года № 21164.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41-3)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23 ноября 2015 года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Межотраслевые типовые нормативы</w:t>
      </w:r>
      <w:r>
        <w:rPr>
          <w:rFonts w:ascii="Times New Roman"/>
          <w:b w:val="false"/>
          <w:i w:val="false"/>
          <w:color w:val="000000"/>
          <w:sz w:val="28"/>
        </w:rPr>
        <w:t xml:space="preserve"> численности работников служб охраны труда.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труда и социального партнерства Министерства труда и социальной защиты населения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приказа на официальном интернет-ресурсе Министерства труда и социальной защиты населения Республики Казахстан после его официального опубликования;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десяти рабочих дней после государственной регистрации настоящего приказа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 и 2) настоящего пункта.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первого вице-министра труда и социальной защиты населения Республики Казахстан Сарбасова А.А.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труда и социальной защиты населения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Нурымбетов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сентября 2020 года № 349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Межотраслевые типовые нормативы численности работников служб охраны труда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Межотраслевые типовые нормативы - в редакции приказа Министра труда и социальной защиты населения РК от 31.03.2022 </w:t>
      </w:r>
      <w:r>
        <w:rPr>
          <w:rFonts w:ascii="Times New Roman"/>
          <w:b w:val="false"/>
          <w:i w:val="false"/>
          <w:color w:val="ff0000"/>
          <w:sz w:val="28"/>
        </w:rPr>
        <w:t>№ 108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Среднегодовая численность работников организации, единиц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 численности, единиц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51-100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101-150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151-200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201-250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251-300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301-350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351-400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401-450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451-500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500-1000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1001-1500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1501-2000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2001-2500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2501-3000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3001-3500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3501-4000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4001-4500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4501-5000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5001 и свыше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Нормативы численности с не целым значением определяют численность не менее указанного предельного значения.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Значение 0,5 означает возложение обязанности по обеспечению безопасности и охраны труда на другого специалиста либо закрепление отдельного одного специалиста с учетом специфики деятельности. Значение 1,5, 2,5, 3,5, 4,5, 5,5, 6,5, 7,5, 8,5, и 9,5 означает возможность у работодателя самостоятельно определять потребность, округляя с избытком до целого с учетом специфики деятельности.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численности работников службы охраны труда (Ч), осуществляется по формуле: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"/>
    <w:p>
      <w:pPr>
        <w:spacing w:after="0"/>
        <w:ind w:left="0"/>
        <w:jc w:val="both"/>
      </w:pPr>
      <w:r>
        <w:drawing>
          <wp:inline distT="0" distB="0" distL="0" distR="0">
            <wp:extent cx="901700" cy="69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01700" cy="69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 Ч – численность работников, чел.;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Фn – полезный фонд рабочего времени одного работника за год, час. Определяется как произведение количества рабочих дней в году на его среднюю продолжительность.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Tн – годовая трудоемкость нормируемых работ, чел.-час.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Годовая трудоемкость нормируемых работ (Tн) определяется с учетом объема каждого вида выполняемых работ по формуле: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8"/>
    <w:p>
      <w:pPr>
        <w:spacing w:after="0"/>
        <w:ind w:left="0"/>
        <w:jc w:val="both"/>
      </w:pPr>
      <w:r>
        <w:drawing>
          <wp:inline distT="0" distB="0" distL="0" distR="0">
            <wp:extent cx="1498600" cy="69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98600" cy="69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 Hврi - нормы времени на выполнение конкретного нормируемого вида работы, чел.-час;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Vi - объем конкретного вида работы, выполняемой за год, i = 1, 2, ..., n- виды выполняемых работ.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 времени на выполнение работы (Нвр) определяется по формуле: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2"/>
    <w:p>
      <w:pPr>
        <w:spacing w:after="0"/>
        <w:ind w:left="0"/>
        <w:jc w:val="both"/>
      </w:pPr>
      <w:r>
        <w:drawing>
          <wp:inline distT="0" distB="0" distL="0" distR="0">
            <wp:extent cx="2070100" cy="685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701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 Нвр - норма времени на выполнение конкретного вида работы (функций), чел.-час;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Тон - норматив времени на выполнение нормируемой работы, установленный по нормативу, чел.-час;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- коэффициент, учитывающий затраты времени на организационно-техническое обслуживание рабочего места, отдых (включая вынужденные паузы при выполнении работы, гимнастические упражнения) и личные потребности, а также подготовительно-заключительные работы, в процентном соотношении от оперативного времени. По результатам анализа хронометражных наблюдений рабочего времени работников К принимается равным 10% от объема оперативного времени.</w:t>
      </w:r>
    </w:p>
    <w:bookmarkEnd w:id="2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