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404a" w14:textId="3934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29 декабря 2014 года № 180 "Об утверждении перечня существенно важных товаров"</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27 августа 2020 года № 186-НҚ. Зарегистрирован в Министерстве юстиции Республики Казахстан 28 августа 2020 года № 21139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29 декабря 2014 года № 180 "Об утверждении перечня существенно важных товаров" (зарегистрирован в Реестре государственной регистрации нормативных правовых актов Республики Казахстан под № 10953, опубликован 5 июня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 Закона Республики Казахстан от 12 апреля 2004 года "О регулировании торговой деятельности" ПРИКАЗЫВАЮ:";</w:t>
      </w:r>
    </w:p>
    <w:bookmarkEnd w:id="2"/>
    <w:bookmarkStart w:name="z8" w:id="3"/>
    <w:p>
      <w:pPr>
        <w:spacing w:after="0"/>
        <w:ind w:left="0"/>
        <w:jc w:val="both"/>
      </w:pPr>
      <w:r>
        <w:rPr>
          <w:rFonts w:ascii="Times New Roman"/>
          <w:b w:val="false"/>
          <w:i w:val="false"/>
          <w:color w:val="000000"/>
          <w:sz w:val="28"/>
        </w:rPr>
        <w:t xml:space="preserve">
      Перечень существенно важных товаров,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End w:id="3"/>
    <w:bookmarkStart w:name="z9" w:id="4"/>
    <w:p>
      <w:pPr>
        <w:spacing w:after="0"/>
        <w:ind w:left="0"/>
        <w:jc w:val="both"/>
      </w:pPr>
      <w:r>
        <w:rPr>
          <w:rFonts w:ascii="Times New Roman"/>
          <w:b w:val="false"/>
          <w:i w:val="false"/>
          <w:color w:val="000000"/>
          <w:sz w:val="28"/>
        </w:rPr>
        <w:t>
      2. Департаменту внешнеторговой деятельности Министерства торговли и интеграции Республики Казахстан обеспечить в установленном законодательством порядке:</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6"/>
    <w:bookmarkStart w:name="z12" w:id="7"/>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торговли и интеграции Республики Казахстан. </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сельского хозяйства</w:t>
      </w:r>
      <w:r>
        <w:br/>
      </w:r>
      <w:r>
        <w:rPr>
          <w:rFonts w:ascii="Times New Roman"/>
          <w:b w:val="false"/>
          <w:i w:val="false"/>
          <w:color w:val="000000"/>
          <w:sz w:val="28"/>
        </w:rPr>
        <w:t>Республики Казахстан</w:t>
      </w:r>
    </w:p>
    <w:bookmarkEnd w:id="9"/>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10"/>
    <w:bookmarkStart w:name="z17"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1"/>
    <w:bookmarkStart w:name="z18"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энергетики</w:t>
      </w:r>
      <w:r>
        <w:br/>
      </w:r>
      <w:r>
        <w:rPr>
          <w:rFonts w:ascii="Times New Roman"/>
          <w:b w:val="false"/>
          <w:i w:val="false"/>
          <w:color w:val="000000"/>
          <w:sz w:val="28"/>
        </w:rPr>
        <w:t>Республики Казахстан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2020 года № 186-НҚ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 xml:space="preserve">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2014 года № 180</w:t>
            </w:r>
          </w:p>
        </w:tc>
      </w:tr>
    </w:tbl>
    <w:bookmarkStart w:name="z21" w:id="13"/>
    <w:p>
      <w:pPr>
        <w:spacing w:after="0"/>
        <w:ind w:left="0"/>
        <w:jc w:val="left"/>
      </w:pPr>
      <w:r>
        <w:rPr>
          <w:rFonts w:ascii="Times New Roman"/>
          <w:b/>
          <w:i w:val="false"/>
          <w:color w:val="000000"/>
        </w:rPr>
        <w:t xml:space="preserve"> Перечень существенно важных товаров</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2532"/>
        <w:gridCol w:w="8883"/>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свежая, охлажденная или замороженная</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или козлятина свежая, охлажденная или замороженная</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рыба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 рыбного филе и прочего мяса рыбы товарной позиции 0304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в панцире или без панциря, живые, свежие, охлажденные, мороженые, сушеные, соленые или в рассоле; ракообразные копченые, в панцире или без панциря, не подвергнутые или подвергнутые тепловой обработке до или в процессе копчения; ракообразные в панцире, сваренные на пару или в кипящей воде, охлажденные или неохлажденные, мороженые, сушеные, соленые или в рассоле; мука тонкого и грубого помола и гранулы из ракообразных, пригодные для употребления в пищу: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прочие жиры и масла, изготовленные из молока; молочные пасты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в скорлупе, свежие, консервированные или вареные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редис и прочие аналогичные съедобные корнеплоды, свежие или охлажденные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со вкусо-ароматическими добавками или без них</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меслин</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прочих злаков, кроме пшеничной или пшенично-ржаной</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порошок, хлопья, гранулы картофельные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 из сердцевины саговой пальмы, из корнеплодов или клубнеплодов товарной позиции 0714 или продуктов группы 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 плоды прочих масличных культур, дробленые или недробленые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 культур, кроме семян горчицы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плоды и споры для посева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1211 90 860 1</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солодки</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и его фракции, нерафинированные или рафинированные, но без изменения химического состава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сафлоровое или хлопковое и их фракции, нерафинированные или рафинированные, но без изменения химического состава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(из рапса, или кользы) или горчичное и их фракции, нерафинированные или рафинированные, но без изменения химического состава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нелетучие растительные жиры, масла (включая масло жожоба) и их фракции, нерафинированные или рафинированные, но без изменения химического состава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 или их фракций товарной позиции 1516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непригодные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в другом месте не поименованные или не включенные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 химически чистая сахароза, в твердом состоянии</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1904 90 800 0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пищевые продукты, полученные путем вздувания или обжаривания зерна злаков или зерновых продуктов (например, кукурузные хлопья); злаки (кроме зерна кукурузы) в виде зерна или в виде хлопьев или зерна, обработанного иным способом (за исключением муки тонкого и грубого помола, крупы), предварительно отваренные или приготовленные иным способом, в другом месте не поименованные или не включенные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полученные при извлечении соевого масла, немолотые или молотые, негранулированные или гранулированные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2306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кроме отходов товарной позиции 2304 или 2305, немолотые или молотые, негранулированные или гранулированные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каменноугольный, водяной, генераторный и аналогичные газы, кроме нефтяных газов и других газообразных углеводородов</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нефтепродукты сырые, полученные из битуминозных пород</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и углеводороды газообразные прочие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парафин, воск нефтяной микрокристаллический, гач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битум нефтяной и прочие остатки от переработки нефти или нефтепродуктов, полученных из битуминозных пород</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двоенные или недвоенные, кроме исключенных примечанием 1в к данной группе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 кроме исключенных примечанием 1б или 1в к данной группе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4104</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крупного рогатого скота (включая буйволов) или животных семейства лошадиных, без волосяного покрова, двоеные или недвоеные, но без дальнейшей обработки</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из шкур свиней, без шерстного или волосяного покрова, двоеная или недвоеная, но без дальнейшей обработки, во влажном состоянии (включая хромированный полуфабрикат)</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из шкур свиней, без шерстного или волосяного покрова, двоеная или недвоеная, но без дальнейшей обработки, в сухом состоянии (краст)</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 поленьев, ветвей, вязанок хвороста или в аналогичных видах; древесина в виде щепок или стружки; пилки и древесные отходы и скрап, неагломерированные или агломерированные в виде бревен, брикетов, гранул или в аналогичных видах</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Древесина бондарная; бревна расколотые; сваи, колья и столбы из дерева, заостренные, но не распиленные вдоль;</w:t>
            </w:r>
            <w:r>
              <w:br/>
            </w:r>
            <w:r>
              <w:rPr>
                <w:rFonts w:ascii="Times New Roman"/>
                <w:b w:val="false"/>
                <w:i w:val="false"/>
                <w:color w:val="000000"/>
                <w:sz w:val="20"/>
              </w:rPr>
              <w:t>
лесоматериалы, грубо обтесанные, но не обточенные, не изогнутые или не обработанные другим способом, используемые для производства тростей, зонтов, ручек для инструментов или аналогичных изделий; щепа и аналогичная древесина</w:t>
            </w:r>
          </w:p>
          <w:bookmarkEnd w:id="14"/>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 расколотые вдоль, разделенные на слои или лущеные, строганые или нестроганые, шлифованные или нешлифованные, имеющие или не имеющие торцевые соединения, толщиной более 6 мм</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Регенерируемые бумага или картон (макулатура и отходы)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 животных</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Лен-сырец или лен обработанный, но не подвергнутый прядению; очесы и отходы льна (включая прядильные отходы и расщипанное сырье)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7108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более 600 мм или более, горячекатаный, неплакированный, без гальванического или другого покрытия</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более 600 мм или более, холоднокатаный (обжатый в холодном состоянии), неплакированный, без гальванического или другого покрытия</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более 600 мм или более, плакированный с гальваническим или другим покрытием</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никелевые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алюминиевые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алюминиевая</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алюминиевые толщиной более 0,2 мм</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алюминиевые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алюминиевые (например, муфты, колена, фланцы)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с термоизоляцией или без них, но без механического или теплотехнического оборудования</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сниженного газа) вместимостью не более 300 л, с облицовкой или с термоизоляцией или без них, но без механического или теплотехнического оборудования</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сниженного газа алюминиевые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проволокла, тросы, плетенные шнуры и аналогичные изделия из алюминия без электрической изоляции</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алюминия</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свинцовые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цинковые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оловянные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вольфрама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8102 97 000 0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молибдена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8103 30 000 0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тантала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магния</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кобальта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необработанный; отходы и лом; порошки</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8107 30 000 0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кадмия</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титана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8109 30 000 0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циркония</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8110 20 000 0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сурьмы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8111 00 190 0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марганца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8112 22 000 0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хрома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моторных вагонов трамвая или подвижного состава</w:t>
            </w:r>
          </w:p>
        </w:tc>
      </w:tr>
    </w:tbl>
    <w:bookmarkStart w:name="z23" w:id="15"/>
    <w:p>
      <w:pPr>
        <w:spacing w:after="0"/>
        <w:ind w:left="0"/>
        <w:jc w:val="both"/>
      </w:pPr>
      <w:r>
        <w:rPr>
          <w:rFonts w:ascii="Times New Roman"/>
          <w:b w:val="false"/>
          <w:i w:val="false"/>
          <w:color w:val="000000"/>
          <w:sz w:val="28"/>
        </w:rPr>
        <w:t xml:space="preserve">
      Примечание: ТН ВЭД ЕАЭС – Товарная номенклатура внешнеэкономической деятельности Евразийского экономического союза, утвержденная Решением Совета Евразийской экономической комиссии № 54 от 16 июля 2012 года. </w:t>
      </w:r>
    </w:p>
    <w:bookmarkEnd w:id="15"/>
    <w:bookmarkStart w:name="z24" w:id="16"/>
    <w:p>
      <w:pPr>
        <w:spacing w:after="0"/>
        <w:ind w:left="0"/>
        <w:jc w:val="both"/>
      </w:pPr>
      <w:r>
        <w:rPr>
          <w:rFonts w:ascii="Times New Roman"/>
          <w:b w:val="false"/>
          <w:i w:val="false"/>
          <w:color w:val="000000"/>
          <w:sz w:val="28"/>
        </w:rPr>
        <w:t>
      Товарная позиция – наименование товара в соответствии с ТН ВЭД ЕАЭС.</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