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a7ed" w14:textId="4b0a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июля 2020 года № 661. Зарегистрирован в Министерстве юстиции Республики Казахстан 6 августа 2020 года № 21063.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опубликован 30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"Натуральные нормы обеспечения государственных органов служебными и дежурными автомобилями"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15" w:id="7"/>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секретарь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Счетного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Счетного комитета, Руководитель аппарата Агентства Республики Казахстан по делам государственной службы, Руководитель аппарата  Агентства Республики Казахстан по противодействию коррупции (Антикоррупционная служба), Руководитель аппарата Центральной избирательной комиссии, Руководитель аппарата Агентства Республики Казахстан по регулированию и развитию финансового рынка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секретарь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Примечания:</w:t>
      </w:r>
    </w:p>
    <w:bookmarkEnd w:id="8"/>
    <w:bookmarkStart w:name="z17" w:id="9"/>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9"/>
    <w:bookmarkStart w:name="z18" w:id="10"/>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10"/>
    <w:bookmarkStart w:name="z19" w:id="11"/>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2600 километров в месяц на 1 единицу транспорта;</w:t>
      </w:r>
    </w:p>
    <w:bookmarkEnd w:id="11"/>
    <w:bookmarkStart w:name="z20" w:id="12"/>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w:t>
      </w:r>
    </w:p>
    <w:bookmarkEnd w:id="12"/>
    <w:bookmarkStart w:name="z21" w:id="13"/>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w:t>
      </w:r>
    </w:p>
    <w:bookmarkEnd w:id="13"/>
    <w:bookmarkStart w:name="z22" w:id="14"/>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14"/>
    <w:bookmarkStart w:name="z23" w:id="15"/>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w:t>
      </w:r>
    </w:p>
    <w:bookmarkEnd w:id="15"/>
    <w:bookmarkStart w:name="z24" w:id="16"/>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16"/>
    <w:bookmarkStart w:name="z25" w:id="17"/>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17"/>
    <w:bookmarkStart w:name="z26" w:id="18"/>
    <w:p>
      <w:pPr>
        <w:spacing w:after="0"/>
        <w:ind w:left="0"/>
        <w:jc w:val="both"/>
      </w:pPr>
      <w:r>
        <w:rPr>
          <w:rFonts w:ascii="Times New Roman"/>
          <w:b w:val="false"/>
          <w:i w:val="false"/>
          <w:color w:val="000000"/>
          <w:sz w:val="28"/>
        </w:rPr>
        <w:t>
      ********** для Председателя Счетного комитета, Генерального прокурора, министров финансов и сельского хозяйства установить лимиты пробега для автомобилей транспортного обслуживания не более 3100 километр в месяц на 1 единицу транспорта;</w:t>
      </w:r>
    </w:p>
    <w:bookmarkEnd w:id="18"/>
    <w:bookmarkStart w:name="z27" w:id="19"/>
    <w:p>
      <w:pPr>
        <w:spacing w:after="0"/>
        <w:ind w:left="0"/>
        <w:jc w:val="both"/>
      </w:pPr>
      <w:r>
        <w:rPr>
          <w:rFonts w:ascii="Times New Roman"/>
          <w:b w:val="false"/>
          <w:i w:val="false"/>
          <w:color w:val="000000"/>
          <w:sz w:val="28"/>
        </w:rPr>
        <w:t>
      *********** данная натуральная норма также распространяется на руководителя государственного учреждения "Библиотека Первого Президента Республики Казахстан – Елбасы";</w:t>
      </w:r>
    </w:p>
    <w:bookmarkEnd w:id="19"/>
    <w:bookmarkStart w:name="z28" w:id="20"/>
    <w:p>
      <w:pPr>
        <w:spacing w:after="0"/>
        <w:ind w:left="0"/>
        <w:jc w:val="both"/>
      </w:pPr>
      <w:r>
        <w:rPr>
          <w:rFonts w:ascii="Times New Roman"/>
          <w:b w:val="false"/>
          <w:i w:val="false"/>
          <w:color w:val="000000"/>
          <w:sz w:val="28"/>
        </w:rPr>
        <w:t>
      ************ данная натуральная норма также распространяется на заместителей руководителя государственного учреждения "Библиотека Первого Президента Республики Казахстан – Елбасы";</w:t>
      </w:r>
    </w:p>
    <w:bookmarkEnd w:id="20"/>
    <w:bookmarkStart w:name="z29" w:id="21"/>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Совета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Совета Республики Казахстан в городах Нур-Султане и Алматы и 1 единица для аппарата Конституционного Совета Республики Казахстан.</w:t>
      </w:r>
    </w:p>
    <w:bookmarkEnd w:id="21"/>
    <w:bookmarkStart w:name="z30" w:id="22"/>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и Министерство внутренних дел Республики Казахстан.</w:t>
      </w:r>
    </w:p>
    <w:bookmarkEnd w:id="22"/>
    <w:bookmarkStart w:name="z31" w:id="23"/>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ответственного секретаря центрального исполнительного органа, в командировку на служебном автотранспорте в близлежащие населенные пункты.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