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27f7" w14:textId="2692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15 июля 2020 года № 56. Зарегистрирован в Министерстве юстиции Республики Казахстан 16 июля 2020 года № 20975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опубликован от 26 ноября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"В случае изменения объемов регулируемых услуг, за базу принимается фактический объем предоставленных регулируемых услуг за четыре законченных квартала, предшествующие подаче заявки, или за предыдущий календарный год. При этом, в случае отсутствия фактического объема оказанных услуг по подъездному пути, объемы подъездного пути учитываются на уровне количества вагонов, поданных по подъездному пути за четыре законченных квартала, предшествующих подаче заявки, или за предыдущий календарный год.";</w:t>
      </w:r>
    </w:p>
    <w:bookmarkEnd w:id="4"/>
    <w:bookmarkStart w:name="z9" w:id="5"/>
    <w:p>
      <w:pPr>
        <w:spacing w:after="0"/>
        <w:ind w:left="0"/>
        <w:jc w:val="both"/>
      </w:pPr>
      <w:r>
        <w:rPr>
          <w:rFonts w:ascii="Times New Roman"/>
          <w:b w:val="false"/>
          <w:i w:val="false"/>
          <w:color w:val="000000"/>
          <w:sz w:val="28"/>
        </w:rPr>
        <w:t>
      дополнить пунктом 106-1 следующего содержания:</w:t>
      </w:r>
    </w:p>
    <w:bookmarkEnd w:id="5"/>
    <w:bookmarkStart w:name="z10" w:id="6"/>
    <w:p>
      <w:pPr>
        <w:spacing w:after="0"/>
        <w:ind w:left="0"/>
        <w:jc w:val="both"/>
      </w:pPr>
      <w:r>
        <w:rPr>
          <w:rFonts w:ascii="Times New Roman"/>
          <w:b w:val="false"/>
          <w:i w:val="false"/>
          <w:color w:val="000000"/>
          <w:sz w:val="28"/>
        </w:rPr>
        <w:t>
      "106-1. Средства, направляемые субъектом на ремонт, не приводящие к росту стоимости основных средств, включаются в затратную часть тарифа на основании акта органа государственного транспортного контроля о выявленных нарушениях и расчета стоимости проведения ремонта.";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исключить;</w:t>
      </w:r>
    </w:p>
    <w:bookmarkStart w:name="z12" w:id="7"/>
    <w:p>
      <w:pPr>
        <w:spacing w:after="0"/>
        <w:ind w:left="0"/>
        <w:jc w:val="both"/>
      </w:pPr>
      <w:r>
        <w:rPr>
          <w:rFonts w:ascii="Times New Roman"/>
          <w:b w:val="false"/>
          <w:i w:val="false"/>
          <w:color w:val="000000"/>
          <w:sz w:val="28"/>
        </w:rPr>
        <w:t>
      дополнить пунктом 245-1 следующего содержания:</w:t>
      </w:r>
    </w:p>
    <w:bookmarkEnd w:id="7"/>
    <w:bookmarkStart w:name="z13" w:id="8"/>
    <w:p>
      <w:pPr>
        <w:spacing w:after="0"/>
        <w:ind w:left="0"/>
        <w:jc w:val="both"/>
      </w:pPr>
      <w:r>
        <w:rPr>
          <w:rFonts w:ascii="Times New Roman"/>
          <w:b w:val="false"/>
          <w:i w:val="false"/>
          <w:color w:val="000000"/>
          <w:sz w:val="28"/>
        </w:rPr>
        <w:t xml:space="preserve">
      "245-1. Дифференциация тарифов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осуществляется в соответствии с порядком расчета дифференцированного тарифа на регулируемые услуги магистральных железнодорожных сетей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дополнить подпунктом 3-1) следующего содержания:</w:t>
      </w:r>
    </w:p>
    <w:bookmarkStart w:name="z15" w:id="9"/>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9"/>
    <w:bookmarkStart w:name="z16"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301</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xml:space="preserve">
      "Субъект, указанный в </w:t>
      </w:r>
      <w:r>
        <w:rPr>
          <w:rFonts w:ascii="Times New Roman"/>
          <w:b w:val="false"/>
          <w:i w:val="false"/>
          <w:color w:val="000000"/>
          <w:sz w:val="28"/>
        </w:rPr>
        <w:t>подпунктах 3)</w:t>
      </w:r>
      <w:r>
        <w:rPr>
          <w:rFonts w:ascii="Times New Roman"/>
          <w:b w:val="false"/>
          <w:i w:val="false"/>
          <w:color w:val="000000"/>
          <w:sz w:val="28"/>
        </w:rPr>
        <w:t xml:space="preserve"> и 3-1) пункта 299 настоящих Правил, в срок не позднее десяти календарных дней с начала оказания регулируемых услуг на новых объектах и (или) участках, в том числе на участках подъездных путей, не являющихся неразрывной частью подъездных путей, на услуги которых субъекту утвержден тариф, представляет заявку в ведомство уполномоченного органа в электронной форме, за исключением случаев, предусмотренных </w:t>
      </w:r>
      <w:r>
        <w:rPr>
          <w:rFonts w:ascii="Times New Roman"/>
          <w:b w:val="false"/>
          <w:i w:val="false"/>
          <w:color w:val="000000"/>
          <w:sz w:val="28"/>
        </w:rPr>
        <w:t>пунктом 302</w:t>
      </w:r>
      <w:r>
        <w:rPr>
          <w:rFonts w:ascii="Times New Roman"/>
          <w:b w:val="false"/>
          <w:i w:val="false"/>
          <w:color w:val="000000"/>
          <w:sz w:val="28"/>
        </w:rPr>
        <w:t xml:space="preserve"> настоящих Правил.";</w:t>
      </w:r>
    </w:p>
    <w:bookmarkEnd w:id="11"/>
    <w:bookmarkStart w:name="z18"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302</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xml:space="preserve">
      "К заявке субъекта, указанного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прилагаются:</w:t>
      </w:r>
    </w:p>
    <w:bookmarkEnd w:id="13"/>
    <w:bookmarkStart w:name="z20" w:id="14"/>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 и проект тарифной сметы по формам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Правилам формирования тарифов;</w:t>
      </w:r>
    </w:p>
    <w:bookmarkEnd w:id="14"/>
    <w:bookmarkStart w:name="z21" w:id="15"/>
    <w:p>
      <w:pPr>
        <w:spacing w:after="0"/>
        <w:ind w:left="0"/>
        <w:jc w:val="both"/>
      </w:pPr>
      <w:r>
        <w:rPr>
          <w:rFonts w:ascii="Times New Roman"/>
          <w:b w:val="false"/>
          <w:i w:val="false"/>
          <w:color w:val="000000"/>
          <w:sz w:val="28"/>
        </w:rPr>
        <w:t>
      2) данные о проектной мощности;</w:t>
      </w:r>
    </w:p>
    <w:bookmarkEnd w:id="15"/>
    <w:bookmarkStart w:name="z22" w:id="16"/>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16"/>
    <w:bookmarkStart w:name="z23" w:id="17"/>
    <w:p>
      <w:pPr>
        <w:spacing w:after="0"/>
        <w:ind w:left="0"/>
        <w:jc w:val="both"/>
      </w:pPr>
      <w:r>
        <w:rPr>
          <w:rFonts w:ascii="Times New Roman"/>
          <w:b w:val="false"/>
          <w:i w:val="false"/>
          <w:color w:val="000000"/>
          <w:sz w:val="28"/>
        </w:rPr>
        <w:t>
      4) постатейные расчеты расходов с приложением обосновывающих материалов (в качестве обосновывающих материалов представляются данные о затратах, предусмотренных на период действия тарифа);</w:t>
      </w:r>
    </w:p>
    <w:bookmarkEnd w:id="17"/>
    <w:bookmarkStart w:name="z24" w:id="18"/>
    <w:p>
      <w:pPr>
        <w:spacing w:after="0"/>
        <w:ind w:left="0"/>
        <w:jc w:val="both"/>
      </w:pPr>
      <w:r>
        <w:rPr>
          <w:rFonts w:ascii="Times New Roman"/>
          <w:b w:val="false"/>
          <w:i w:val="false"/>
          <w:color w:val="000000"/>
          <w:sz w:val="28"/>
        </w:rPr>
        <w:t>
      5)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8"/>
    <w:bookmarkStart w:name="z25" w:id="19"/>
    <w:p>
      <w:pPr>
        <w:spacing w:after="0"/>
        <w:ind w:left="0"/>
        <w:jc w:val="both"/>
      </w:pPr>
      <w:r>
        <w:rPr>
          <w:rFonts w:ascii="Times New Roman"/>
          <w:b w:val="false"/>
          <w:i w:val="false"/>
          <w:color w:val="000000"/>
          <w:sz w:val="28"/>
        </w:rPr>
        <w:t>
      6) расчет амортизационных отчислений с указанием сроков эксплуатации основных средств;</w:t>
      </w:r>
    </w:p>
    <w:bookmarkEnd w:id="19"/>
    <w:bookmarkStart w:name="z26" w:id="20"/>
    <w:p>
      <w:pPr>
        <w:spacing w:after="0"/>
        <w:ind w:left="0"/>
        <w:jc w:val="both"/>
      </w:pPr>
      <w:r>
        <w:rPr>
          <w:rFonts w:ascii="Times New Roman"/>
          <w:b w:val="false"/>
          <w:i w:val="false"/>
          <w:color w:val="000000"/>
          <w:sz w:val="28"/>
        </w:rPr>
        <w:t>
      7) расчет прибыли;</w:t>
      </w:r>
    </w:p>
    <w:bookmarkEnd w:id="20"/>
    <w:bookmarkStart w:name="z27" w:id="21"/>
    <w:p>
      <w:pPr>
        <w:spacing w:after="0"/>
        <w:ind w:left="0"/>
        <w:jc w:val="both"/>
      </w:pPr>
      <w:r>
        <w:rPr>
          <w:rFonts w:ascii="Times New Roman"/>
          <w:b w:val="false"/>
          <w:i w:val="false"/>
          <w:color w:val="000000"/>
          <w:sz w:val="28"/>
        </w:rPr>
        <w:t>
      8) проект сметы затрат, необходимых для поддержания основных производственных фондов в рабочем состоянии;</w:t>
      </w:r>
    </w:p>
    <w:bookmarkEnd w:id="21"/>
    <w:bookmarkStart w:name="z28" w:id="22"/>
    <w:p>
      <w:pPr>
        <w:spacing w:after="0"/>
        <w:ind w:left="0"/>
        <w:jc w:val="both"/>
      </w:pPr>
      <w:r>
        <w:rPr>
          <w:rFonts w:ascii="Times New Roman"/>
          <w:b w:val="false"/>
          <w:i w:val="false"/>
          <w:color w:val="000000"/>
          <w:sz w:val="28"/>
        </w:rPr>
        <w:t xml:space="preserve">
      9) проект тарифной сметы по форме 7, 8 и 9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10) решение уполномоченного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23"/>
    <w:bookmarkStart w:name="z30" w:id="24"/>
    <w:p>
      <w:pPr>
        <w:spacing w:after="0"/>
        <w:ind w:left="0"/>
        <w:jc w:val="both"/>
      </w:pPr>
      <w:r>
        <w:rPr>
          <w:rFonts w:ascii="Times New Roman"/>
          <w:b w:val="false"/>
          <w:i w:val="false"/>
          <w:color w:val="000000"/>
          <w:sz w:val="28"/>
        </w:rPr>
        <w:t>
      11)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(протоколы намерений, договоры, расчеты объемов предоставляемых услуг).";</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xml:space="preserve">
      "305.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подпункте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на соответствие </w:t>
      </w:r>
      <w:r>
        <w:rPr>
          <w:rFonts w:ascii="Times New Roman"/>
          <w:b w:val="false"/>
          <w:i w:val="false"/>
          <w:color w:val="000000"/>
          <w:sz w:val="28"/>
        </w:rPr>
        <w:t>пункту 302</w:t>
      </w:r>
      <w:r>
        <w:rPr>
          <w:rFonts w:ascii="Times New Roman"/>
          <w:b w:val="false"/>
          <w:i w:val="false"/>
          <w:color w:val="000000"/>
          <w:sz w:val="28"/>
        </w:rPr>
        <w:t xml:space="preserve"> настоящих Правил, субъектом малой мощности – на соответствие </w:t>
      </w:r>
      <w:r>
        <w:rPr>
          <w:rFonts w:ascii="Times New Roman"/>
          <w:b w:val="false"/>
          <w:i w:val="false"/>
          <w:color w:val="000000"/>
          <w:sz w:val="28"/>
        </w:rPr>
        <w:t>пункту 303</w:t>
      </w:r>
      <w:r>
        <w:rPr>
          <w:rFonts w:ascii="Times New Roman"/>
          <w:b w:val="false"/>
          <w:i w:val="false"/>
          <w:color w:val="000000"/>
          <w:sz w:val="28"/>
        </w:rPr>
        <w:t xml:space="preserve">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304 настоящих Правил.";</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306 изложить в следующей редакции:</w:t>
      </w:r>
    </w:p>
    <w:bookmarkStart w:name="z34" w:id="26"/>
    <w:p>
      <w:pPr>
        <w:spacing w:after="0"/>
        <w:ind w:left="0"/>
        <w:jc w:val="both"/>
      </w:pPr>
      <w:r>
        <w:rPr>
          <w:rFonts w:ascii="Times New Roman"/>
          <w:b w:val="false"/>
          <w:i w:val="false"/>
          <w:color w:val="000000"/>
          <w:sz w:val="28"/>
        </w:rPr>
        <w:t xml:space="preserve">
      "1) непредставление субъектом указанных в подпункте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документов, предусмотренных </w:t>
      </w:r>
      <w:r>
        <w:rPr>
          <w:rFonts w:ascii="Times New Roman"/>
          <w:b w:val="false"/>
          <w:i w:val="false"/>
          <w:color w:val="000000"/>
          <w:sz w:val="28"/>
        </w:rPr>
        <w:t>пунктом 302</w:t>
      </w:r>
      <w:r>
        <w:rPr>
          <w:rFonts w:ascii="Times New Roman"/>
          <w:b w:val="false"/>
          <w:i w:val="false"/>
          <w:color w:val="000000"/>
          <w:sz w:val="28"/>
        </w:rPr>
        <w:t xml:space="preserve"> настоящих Правил, или субъектом малой мощности документов, предусмотренных </w:t>
      </w:r>
      <w:r>
        <w:rPr>
          <w:rFonts w:ascii="Times New Roman"/>
          <w:b w:val="false"/>
          <w:i w:val="false"/>
          <w:color w:val="000000"/>
          <w:sz w:val="28"/>
        </w:rPr>
        <w:t>пунктом 303</w:t>
      </w:r>
      <w:r>
        <w:rPr>
          <w:rFonts w:ascii="Times New Roman"/>
          <w:b w:val="false"/>
          <w:i w:val="false"/>
          <w:color w:val="000000"/>
          <w:sz w:val="28"/>
        </w:rPr>
        <w:t xml:space="preserve"> настоящих Правил;";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309</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xml:space="preserve">
      "309. Тариф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определяется в соответствии с Механизмом расчета тарифа с учетом затратного метода тарифного регулирования сфер естественных монополий согласно </w:t>
      </w:r>
      <w:r>
        <w:rPr>
          <w:rFonts w:ascii="Times New Roman"/>
          <w:b w:val="false"/>
          <w:i w:val="false"/>
          <w:color w:val="000000"/>
          <w:sz w:val="28"/>
        </w:rPr>
        <w:t>параграфу 2</w:t>
      </w:r>
      <w:r>
        <w:rPr>
          <w:rFonts w:ascii="Times New Roman"/>
          <w:b w:val="false"/>
          <w:i w:val="false"/>
          <w:color w:val="000000"/>
          <w:sz w:val="28"/>
        </w:rPr>
        <w:t xml:space="preserve"> главы 2 настоящих Правил.";</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315</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"315. Срок действия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не превышает двенадцати месяцев.";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347</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"347. При рассмотрении проекта инвестиционной программы на предмет его обоснованности исключаются мероприятия:</w:t>
      </w:r>
    </w:p>
    <w:bookmarkEnd w:id="29"/>
    <w:bookmarkStart w:name="z41" w:id="30"/>
    <w:p>
      <w:pPr>
        <w:spacing w:after="0"/>
        <w:ind w:left="0"/>
        <w:jc w:val="both"/>
      </w:pPr>
      <w:r>
        <w:rPr>
          <w:rFonts w:ascii="Times New Roman"/>
          <w:b w:val="false"/>
          <w:i w:val="false"/>
          <w:color w:val="000000"/>
          <w:sz w:val="28"/>
        </w:rPr>
        <w:t xml:space="preserve">
      1) несоответствующие требованиям, предусмотренным </w:t>
      </w:r>
      <w:r>
        <w:rPr>
          <w:rFonts w:ascii="Times New Roman"/>
          <w:b w:val="false"/>
          <w:i w:val="false"/>
          <w:color w:val="000000"/>
          <w:sz w:val="28"/>
        </w:rPr>
        <w:t>пунктом 335</w:t>
      </w:r>
      <w:r>
        <w:rPr>
          <w:rFonts w:ascii="Times New Roman"/>
          <w:b w:val="false"/>
          <w:i w:val="false"/>
          <w:color w:val="000000"/>
          <w:sz w:val="28"/>
        </w:rPr>
        <w:t xml:space="preserve"> настоящих Правил;</w:t>
      </w:r>
    </w:p>
    <w:bookmarkEnd w:id="30"/>
    <w:bookmarkStart w:name="z42" w:id="31"/>
    <w:p>
      <w:pPr>
        <w:spacing w:after="0"/>
        <w:ind w:left="0"/>
        <w:jc w:val="both"/>
      </w:pPr>
      <w:r>
        <w:rPr>
          <w:rFonts w:ascii="Times New Roman"/>
          <w:b w:val="false"/>
          <w:i w:val="false"/>
          <w:color w:val="000000"/>
          <w:sz w:val="28"/>
        </w:rPr>
        <w:t>
      2) необеспеченные источником финансирования;</w:t>
      </w:r>
    </w:p>
    <w:bookmarkEnd w:id="31"/>
    <w:bookmarkStart w:name="z43" w:id="32"/>
    <w:p>
      <w:pPr>
        <w:spacing w:after="0"/>
        <w:ind w:left="0"/>
        <w:jc w:val="both"/>
      </w:pPr>
      <w:r>
        <w:rPr>
          <w:rFonts w:ascii="Times New Roman"/>
          <w:b w:val="false"/>
          <w:i w:val="false"/>
          <w:color w:val="000000"/>
          <w:sz w:val="28"/>
        </w:rPr>
        <w:t>
      3) неподтвержденные обосновывающими документами.</w:t>
      </w:r>
    </w:p>
    <w:bookmarkEnd w:id="32"/>
    <w:bookmarkStart w:name="z44" w:id="33"/>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33"/>
    <w:bookmarkStart w:name="z45" w:id="34"/>
    <w:p>
      <w:pPr>
        <w:spacing w:after="0"/>
        <w:ind w:left="0"/>
        <w:jc w:val="both"/>
      </w:pPr>
      <w:r>
        <w:rPr>
          <w:rFonts w:ascii="Times New Roman"/>
          <w:b w:val="false"/>
          <w:i w:val="false"/>
          <w:color w:val="000000"/>
          <w:sz w:val="28"/>
        </w:rPr>
        <w:t>
      Отказ в утверждении инвестиционной программы ведомством уполномоченного органа, государственным органом, осуществляющим руководство в соответствующих отраслях, либо местным исполнительным органом, является основанием для отказа в утверждении тарифа.";</w:t>
      </w:r>
    </w:p>
    <w:bookmarkEnd w:id="34"/>
    <w:bookmarkStart w:name="z46" w:id="35"/>
    <w:p>
      <w:pPr>
        <w:spacing w:after="0"/>
        <w:ind w:left="0"/>
        <w:jc w:val="both"/>
      </w:pPr>
      <w:r>
        <w:rPr>
          <w:rFonts w:ascii="Times New Roman"/>
          <w:b w:val="false"/>
          <w:i w:val="false"/>
          <w:color w:val="000000"/>
          <w:sz w:val="28"/>
        </w:rPr>
        <w:t>
      дополнить пунктом 347-1 следующего содержания:</w:t>
      </w:r>
    </w:p>
    <w:bookmarkEnd w:id="35"/>
    <w:bookmarkStart w:name="z47" w:id="36"/>
    <w:p>
      <w:pPr>
        <w:spacing w:after="0"/>
        <w:ind w:left="0"/>
        <w:jc w:val="both"/>
      </w:pPr>
      <w:r>
        <w:rPr>
          <w:rFonts w:ascii="Times New Roman"/>
          <w:b w:val="false"/>
          <w:i w:val="false"/>
          <w:color w:val="000000"/>
          <w:sz w:val="28"/>
        </w:rPr>
        <w:t>
      "347-1.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439 изложить в следующей редакции:</w:t>
      </w:r>
    </w:p>
    <w:bookmarkStart w:name="z49" w:id="37"/>
    <w:p>
      <w:pPr>
        <w:spacing w:after="0"/>
        <w:ind w:left="0"/>
        <w:jc w:val="both"/>
      </w:pPr>
      <w:r>
        <w:rPr>
          <w:rFonts w:ascii="Times New Roman"/>
          <w:b w:val="false"/>
          <w:i w:val="false"/>
          <w:color w:val="000000"/>
          <w:sz w:val="28"/>
        </w:rPr>
        <w:t>
      "5) осуществление пассажирских перевозок.</w:t>
      </w:r>
    </w:p>
    <w:bookmarkEnd w:id="37"/>
    <w:bookmarkStart w:name="z50" w:id="38"/>
    <w:p>
      <w:pPr>
        <w:spacing w:after="0"/>
        <w:ind w:left="0"/>
        <w:jc w:val="both"/>
      </w:pPr>
      <w:r>
        <w:rPr>
          <w:rFonts w:ascii="Times New Roman"/>
          <w:b w:val="false"/>
          <w:i w:val="false"/>
          <w:color w:val="000000"/>
          <w:sz w:val="28"/>
        </w:rPr>
        <w:t xml:space="preserve">
      Компетентный орган подтверждает, что перевозчик осуществляет перевозки в своем заключении о целесообразности с предоставлением документов (информации) в соответствии с </w:t>
      </w:r>
      <w:r>
        <w:rPr>
          <w:rFonts w:ascii="Times New Roman"/>
          <w:b w:val="false"/>
          <w:i w:val="false"/>
          <w:color w:val="000000"/>
          <w:sz w:val="28"/>
        </w:rPr>
        <w:t>пунктом 454</w:t>
      </w:r>
      <w:r>
        <w:rPr>
          <w:rFonts w:ascii="Times New Roman"/>
          <w:b w:val="false"/>
          <w:i w:val="false"/>
          <w:color w:val="000000"/>
          <w:sz w:val="28"/>
        </w:rPr>
        <w:t xml:space="preserve"> настоящих Правил;</w:t>
      </w:r>
    </w:p>
    <w:bookmarkEnd w:id="38"/>
    <w:bookmarkStart w:name="z51" w:id="39"/>
    <w:p>
      <w:pPr>
        <w:spacing w:after="0"/>
        <w:ind w:left="0"/>
        <w:jc w:val="both"/>
      </w:pPr>
      <w:r>
        <w:rPr>
          <w:rFonts w:ascii="Times New Roman"/>
          <w:b w:val="false"/>
          <w:i w:val="false"/>
          <w:color w:val="000000"/>
          <w:sz w:val="28"/>
        </w:rPr>
        <w:t xml:space="preserve">
      Для прицепных и беспересадочных вагонов, вагонов – ресторанов и багажных вагонов, включенных в поезда, ведомство уполномоченного органа устанавливает временный понижающий коэффициент в порядке, предусмотренном </w:t>
      </w:r>
      <w:r>
        <w:rPr>
          <w:rFonts w:ascii="Times New Roman"/>
          <w:b w:val="false"/>
          <w:i w:val="false"/>
          <w:color w:val="000000"/>
          <w:sz w:val="28"/>
        </w:rPr>
        <w:t>пунктом 454</w:t>
      </w:r>
      <w:r>
        <w:rPr>
          <w:rFonts w:ascii="Times New Roman"/>
          <w:b w:val="false"/>
          <w:i w:val="false"/>
          <w:color w:val="000000"/>
          <w:sz w:val="28"/>
        </w:rPr>
        <w:t xml:space="preserve"> настоящих Правил;";</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453</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"453. Положения </w:t>
      </w:r>
      <w:r>
        <w:rPr>
          <w:rFonts w:ascii="Times New Roman"/>
          <w:b w:val="false"/>
          <w:i w:val="false"/>
          <w:color w:val="000000"/>
          <w:sz w:val="28"/>
        </w:rPr>
        <w:t>пунктов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настоящего Порядка не распространяются на потребителей, осуществляющих пассажирские перевозки.</w:t>
      </w:r>
    </w:p>
    <w:bookmarkEnd w:id="40"/>
    <w:bookmarkStart w:name="z54" w:id="41"/>
    <w:p>
      <w:pPr>
        <w:spacing w:after="0"/>
        <w:ind w:left="0"/>
        <w:jc w:val="both"/>
      </w:pPr>
      <w:r>
        <w:rPr>
          <w:rFonts w:ascii="Times New Roman"/>
          <w:b w:val="false"/>
          <w:i w:val="false"/>
          <w:color w:val="000000"/>
          <w:sz w:val="28"/>
        </w:rPr>
        <w:t xml:space="preserve">
      454. Для утверждения временного понижающего коэффициента в соответствии с критерием,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439 настоящих Правил, компетентный орган или местный исполнительный орган, направляет в ведомство уполномоченного органа заявку на утверждение временного понижающего коэффициента (далее – обращение) с приложением заключения о целесообразности утверждения временного понижающего коэффициента,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41"/>
    <w:bookmarkStart w:name="z55" w:id="42"/>
    <w:p>
      <w:pPr>
        <w:spacing w:after="0"/>
        <w:ind w:left="0"/>
        <w:jc w:val="both"/>
      </w:pPr>
      <w:r>
        <w:rPr>
          <w:rFonts w:ascii="Times New Roman"/>
          <w:b w:val="false"/>
          <w:i w:val="false"/>
          <w:color w:val="000000"/>
          <w:sz w:val="28"/>
        </w:rPr>
        <w:t>
      К заключению о целесообразности утверждения временного понижающего коэффициента компетентного органа или местного исполнительного органа прилагаются следующие документы и информация:</w:t>
      </w:r>
    </w:p>
    <w:bookmarkEnd w:id="42"/>
    <w:bookmarkStart w:name="z56" w:id="43"/>
    <w:p>
      <w:pPr>
        <w:spacing w:after="0"/>
        <w:ind w:left="0"/>
        <w:jc w:val="both"/>
      </w:pPr>
      <w:r>
        <w:rPr>
          <w:rFonts w:ascii="Times New Roman"/>
          <w:b w:val="false"/>
          <w:i w:val="false"/>
          <w:color w:val="000000"/>
          <w:sz w:val="28"/>
        </w:rPr>
        <w:t>
      1) перечень планируемых пассажирских поездов, курсирующих в межобластных, межрайонных, междугородных внутриобластных и пригородных сообщениях в соответствии с утвержденным графиком движения;</w:t>
      </w:r>
    </w:p>
    <w:bookmarkEnd w:id="43"/>
    <w:bookmarkStart w:name="z57" w:id="44"/>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с предоставлением пояснения в текстовом виде;</w:t>
      </w:r>
    </w:p>
    <w:bookmarkEnd w:id="44"/>
    <w:bookmarkStart w:name="z58" w:id="45"/>
    <w:p>
      <w:pPr>
        <w:spacing w:after="0"/>
        <w:ind w:left="0"/>
        <w:jc w:val="both"/>
      </w:pPr>
      <w:r>
        <w:rPr>
          <w:rFonts w:ascii="Times New Roman"/>
          <w:b w:val="false"/>
          <w:i w:val="false"/>
          <w:color w:val="000000"/>
          <w:sz w:val="28"/>
        </w:rPr>
        <w:t xml:space="preserve">
      3) показатели перевозок пассажирских вагонов железнодорожным транспортом за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45"/>
    <w:bookmarkStart w:name="z59" w:id="46"/>
    <w:p>
      <w:pPr>
        <w:spacing w:after="0"/>
        <w:ind w:left="0"/>
        <w:jc w:val="both"/>
      </w:pPr>
      <w:r>
        <w:rPr>
          <w:rFonts w:ascii="Times New Roman"/>
          <w:b w:val="false"/>
          <w:i w:val="false"/>
          <w:color w:val="000000"/>
          <w:sz w:val="28"/>
        </w:rPr>
        <w:t>
      В случае представления документов или информации, прилагаемых к заключению, в неполном объеме, компетентный орган направляет недостающие документы и (или) информацию по запросу ведомства уполномоченного органа не позднее пяти рабочих дней с даты получения запроса ведомства уполномоченного органа.</w:t>
      </w:r>
    </w:p>
    <w:bookmarkEnd w:id="46"/>
    <w:bookmarkStart w:name="z60" w:id="47"/>
    <w:p>
      <w:pPr>
        <w:spacing w:after="0"/>
        <w:ind w:left="0"/>
        <w:jc w:val="both"/>
      </w:pPr>
      <w:r>
        <w:rPr>
          <w:rFonts w:ascii="Times New Roman"/>
          <w:b w:val="false"/>
          <w:i w:val="false"/>
          <w:color w:val="000000"/>
          <w:sz w:val="28"/>
        </w:rPr>
        <w:t>
      В случае не предоставления компетентным органом или местным исполнительным органом недостающих документов по истечении пяти рабочих дней с даты получения запроса ведомства уполномоченного органа, ведомство уполномоченного органа отклоняет обращение с письменным уведомлением компетентного органа или местного исполнительного органа.";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457</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"457. Решение об утверждении временного понижающего коэффициента вступает в силу по истечении десяти календарных дней с даты его утверждения и действует по 31 декабря года, на который утвержден временный понижающий коэффициент.</w:t>
      </w:r>
    </w:p>
    <w:bookmarkEnd w:id="48"/>
    <w:bookmarkStart w:name="z63" w:id="49"/>
    <w:p>
      <w:pPr>
        <w:spacing w:after="0"/>
        <w:ind w:left="0"/>
        <w:jc w:val="both"/>
      </w:pPr>
      <w:r>
        <w:rPr>
          <w:rFonts w:ascii="Times New Roman"/>
          <w:b w:val="false"/>
          <w:i w:val="false"/>
          <w:color w:val="000000"/>
          <w:sz w:val="28"/>
        </w:rPr>
        <w:t>
      Решение об утверждении временного понижающего коэффициента при перевозке пассажиров направляется Национальному оператору инфраструктуры и компетентному органу или местному исполнительному органу.";</w:t>
      </w:r>
    </w:p>
    <w:bookmarkEnd w:id="49"/>
    <w:bookmarkStart w:name="z64" w:id="50"/>
    <w:p>
      <w:pPr>
        <w:spacing w:after="0"/>
        <w:ind w:left="0"/>
        <w:jc w:val="both"/>
      </w:pPr>
      <w:r>
        <w:rPr>
          <w:rFonts w:ascii="Times New Roman"/>
          <w:b w:val="false"/>
          <w:i w:val="false"/>
          <w:color w:val="000000"/>
          <w:sz w:val="28"/>
        </w:rPr>
        <w:t>
      дополнить пунктом 457-1) следующего содержания:</w:t>
      </w:r>
    </w:p>
    <w:bookmarkEnd w:id="50"/>
    <w:bookmarkStart w:name="z65" w:id="51"/>
    <w:p>
      <w:pPr>
        <w:spacing w:after="0"/>
        <w:ind w:left="0"/>
        <w:jc w:val="both"/>
      </w:pPr>
      <w:r>
        <w:rPr>
          <w:rFonts w:ascii="Times New Roman"/>
          <w:b w:val="false"/>
          <w:i w:val="false"/>
          <w:color w:val="000000"/>
          <w:sz w:val="28"/>
        </w:rPr>
        <w:t>
      "457-1. По обращению компетентного органа или местного исполнительного органа ведомство уполномоченного органа вносит изменения в действующее решение об утверждении временного понижающего коэффициента при предоставлении положительного заключения Национального оператора инфраструктуры.";</w:t>
      </w:r>
    </w:p>
    <w:bookmarkEnd w:id="51"/>
    <w:bookmarkStart w:name="z66"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25</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 w:id="53"/>
    <w:p>
      <w:pPr>
        <w:spacing w:after="0"/>
        <w:ind w:left="0"/>
        <w:jc w:val="both"/>
      </w:pPr>
      <w:r>
        <w:rPr>
          <w:rFonts w:ascii="Times New Roman"/>
          <w:b w:val="false"/>
          <w:i w:val="false"/>
          <w:color w:val="000000"/>
          <w:sz w:val="28"/>
        </w:rPr>
        <w:t>
      "1. Наименование перевозчика, осуществляющего пассажирские перевозки";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26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1" w:id="54"/>
    <w:p>
      <w:pPr>
        <w:spacing w:after="0"/>
        <w:ind w:left="0"/>
        <w:jc w:val="both"/>
      </w:pPr>
      <w:r>
        <w:rPr>
          <w:rFonts w:ascii="Times New Roman"/>
          <w:b w:val="false"/>
          <w:i w:val="false"/>
          <w:color w:val="000000"/>
          <w:sz w:val="28"/>
        </w:rPr>
        <w:t>
      "6. Временный понижающий коэффициент при осуществлении перевозок пассажиров утверждается ведомством уполномоченного органа в размере, определенном в обращении компетентного органа (местного исполнительного органа) при условии предоставления компетентным органом (в случае подачи обращения местным исполнительным органом) и Национальным оператором инфраструктуры положительного заключения о целесообразности утверждения временного понижающего коэффициента.";</w:t>
      </w:r>
    </w:p>
    <w:bookmarkEnd w:id="54"/>
    <w:bookmarkStart w:name="z72" w:id="55"/>
    <w:p>
      <w:pPr>
        <w:spacing w:after="0"/>
        <w:ind w:left="0"/>
        <w:jc w:val="both"/>
      </w:pPr>
      <w:r>
        <w:rPr>
          <w:rFonts w:ascii="Times New Roman"/>
          <w:b w:val="false"/>
          <w:i w:val="false"/>
          <w:color w:val="000000"/>
          <w:sz w:val="28"/>
        </w:rPr>
        <w:t xml:space="preserve">
      дополнить приложением 141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5"/>
    <w:bookmarkStart w:name="z73" w:id="56"/>
    <w:p>
      <w:pPr>
        <w:spacing w:after="0"/>
        <w:ind w:left="0"/>
        <w:jc w:val="both"/>
      </w:pPr>
      <w:r>
        <w:rPr>
          <w:rFonts w:ascii="Times New Roman"/>
          <w:b w:val="false"/>
          <w:i w:val="false"/>
          <w:color w:val="000000"/>
          <w:sz w:val="28"/>
        </w:rPr>
        <w:t>
      2. Комитету по регулированию естественных монополий в установленном законодательством Республики Казахстан порядке обеспечить:</w:t>
      </w:r>
    </w:p>
    <w:bookmarkEnd w:id="56"/>
    <w:bookmarkStart w:name="z74"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75" w:id="58"/>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8"/>
    <w:bookmarkStart w:name="z76" w:id="5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9"/>
    <w:bookmarkStart w:name="z77" w:id="60"/>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60"/>
    <w:bookmarkStart w:name="z78" w:id="6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0" w:id="6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1" w:id="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2" w:id="6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экологии, </w:t>
      </w:r>
      <w:r>
        <w:br/>
      </w:r>
      <w:r>
        <w:rPr>
          <w:rFonts w:ascii="Times New Roman"/>
          <w:b w:val="false"/>
          <w:i w:val="false"/>
          <w:color w:val="000000"/>
          <w:sz w:val="28"/>
        </w:rPr>
        <w:t xml:space="preserve">геологии и природных </w:t>
      </w:r>
      <w:r>
        <w:br/>
      </w:r>
      <w:r>
        <w:rPr>
          <w:rFonts w:ascii="Times New Roman"/>
          <w:b w:val="false"/>
          <w:i w:val="false"/>
          <w:color w:val="000000"/>
          <w:sz w:val="28"/>
        </w:rPr>
        <w:t>ресурсов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формирования тарифов</w:t>
            </w:r>
          </w:p>
        </w:tc>
      </w:tr>
    </w:tbl>
    <w:bookmarkStart w:name="z85" w:id="65"/>
    <w:p>
      <w:pPr>
        <w:spacing w:after="0"/>
        <w:ind w:left="0"/>
        <w:jc w:val="left"/>
      </w:pPr>
      <w:r>
        <w:rPr>
          <w:rFonts w:ascii="Times New Roman"/>
          <w:b/>
          <w:i w:val="false"/>
          <w:color w:val="000000"/>
        </w:rPr>
        <w:t xml:space="preserve"> Порядок расчета дифференцированного тарифа на регулируемые услуги магистральных железнодорожных сетей</w:t>
      </w:r>
    </w:p>
    <w:bookmarkEnd w:id="65"/>
    <w:bookmarkStart w:name="z86" w:id="66"/>
    <w:p>
      <w:pPr>
        <w:spacing w:after="0"/>
        <w:ind w:left="0"/>
        <w:jc w:val="both"/>
      </w:pPr>
      <w:r>
        <w:rPr>
          <w:rFonts w:ascii="Times New Roman"/>
          <w:b w:val="false"/>
          <w:i w:val="false"/>
          <w:color w:val="000000"/>
          <w:sz w:val="28"/>
        </w:rPr>
        <w:t>
      1. Расчет тарифа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(далее – услуга) осуществляется с учетом дифференциации тарифа в зависимости от рода перевозимых грузов, типа подвижного состава, расстояния перевозки, объема (веса) перевозимых грузов.</w:t>
      </w:r>
    </w:p>
    <w:bookmarkEnd w:id="66"/>
    <w:bookmarkStart w:name="z87" w:id="67"/>
    <w:p>
      <w:pPr>
        <w:spacing w:after="0"/>
        <w:ind w:left="0"/>
        <w:jc w:val="both"/>
      </w:pPr>
      <w:r>
        <w:rPr>
          <w:rFonts w:ascii="Times New Roman"/>
          <w:b w:val="false"/>
          <w:i w:val="false"/>
          <w:color w:val="000000"/>
          <w:sz w:val="28"/>
        </w:rPr>
        <w:t>
      2. В целях установления дифференцированного тарифа на услугу в зависимости от рода перевозимых грузов выделены следующие рода перевозимого груза: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47"/>
        <w:gridCol w:w="11083"/>
        <w:gridCol w:w="39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тарифной группы и позиции по Единой тарифностатистической номенклатуре грузов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ставкам расчетных таблиц на Услугу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Повагонными, мелкими и малотоннажными отправками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изделий из них</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кроме 226021, 226069, 226106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материалы и изделия строительные</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231-236, 251-256, 261-268, 281, 301-304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руда</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кроме 151060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мин. удобрения</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 46135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грузы, кроме вышеперечисленных</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и специальные перевозки</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Отправки домашних вещей граждан</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8"/>
    <w:p>
      <w:pPr>
        <w:spacing w:after="0"/>
        <w:ind w:left="0"/>
        <w:jc w:val="both"/>
      </w:pPr>
      <w:r>
        <w:rPr>
          <w:rFonts w:ascii="Times New Roman"/>
          <w:b w:val="false"/>
          <w:i w:val="false"/>
          <w:color w:val="000000"/>
          <w:sz w:val="28"/>
        </w:rPr>
        <w:t>
      3. Расчет уровня дифференцированного тарифа на услугу осуществляется с учетом коэффициентов к расчетным таблицам, применяемые для исчисления за Услуги при перевозке грузов железнодорожным транспортом. При этом, изменения коэффициентов к расчетным таблицам определяется исходя из факторов социально-экономического развития Республики Казахстан и с учетом пункта 1 статьи 15 Закона.</w:t>
      </w:r>
    </w:p>
    <w:bookmarkEnd w:id="68"/>
    <w:bookmarkStart w:name="z89" w:id="69"/>
    <w:p>
      <w:pPr>
        <w:spacing w:after="0"/>
        <w:ind w:left="0"/>
        <w:jc w:val="both"/>
      </w:pPr>
      <w:r>
        <w:rPr>
          <w:rFonts w:ascii="Times New Roman"/>
          <w:b w:val="false"/>
          <w:i w:val="false"/>
          <w:color w:val="000000"/>
          <w:sz w:val="28"/>
        </w:rPr>
        <w:t>
      4. При исчислении тарифа на услугу в республиканском, международном (экспортном, импортном) сообщениях при перевозке грузов, порожних собственных (арендованных) вагонов применяются расчетные таблицы применяемые для исчисления тарифов на услуги при перевозке грузов железнодорожным транспортом в экспортном сообщении согласно  приложению 3, утвержденной приказом Председателя Агентства Республики Казахстан по регулированию естественных монополий и защите конкуренции  от 25 мая 2004 года № 242-ОД "О тарифах акционерного общества "Национальная компания" Қазақстан темір жолы" на услуги магистральной железнодорожной сети".</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