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6d3" w14:textId="b8d6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27 марта 2015 года № 366 "Об утверждении Правил пользования магистральной железнодорожной сетью"</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мая 2020 года № 317. Зарегистрирован в Министерстве юстиции Республики Казахстан 1 июня 2020 года № 20797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366 "Об утверждении Правил пользования магистральной железнодорожной сетью" (зарегистрирован в Реестре государственной регистрации нормативных правовых актов за № 11257, опубликован 22 июня 2016 года в информационно – 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магистральной железнодорожной сетью,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"12) договор на оказание услуг магистральной железнодорожной сети (далее – договор) – договор на оказание услуг магистральной железнодорожной сети, заключенный между перевозчиком и национальным оператором инфраструктуры согласно типовому договору на оказание услуг магистральной железнодорожной сети, утверждаемый уполномоченным органом, осуществляющий руководство в сферах естественных монополий в соответствии с подпунктом 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27 декабря 2018 года "О естественных монополиях.";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"10. Доступ к услугам магистральной железнодорожной сети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 за исключением прав, вытекающих из долгосрочных договоров и договоров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p>
    <w:bookmarkEnd w:id="4"/>
    <w:bookmarkStart w:name="z11" w:id="5"/>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xml:space="preserve">
      "11) в случае осуществления деятельности по перевозке пассажиров: </w:t>
      </w:r>
    </w:p>
    <w:bookmarkEnd w:id="6"/>
    <w:bookmarkStart w:name="z13" w:id="7"/>
    <w:p>
      <w:pPr>
        <w:spacing w:after="0"/>
        <w:ind w:left="0"/>
        <w:jc w:val="both"/>
      </w:pPr>
      <w:r>
        <w:rPr>
          <w:rFonts w:ascii="Times New Roman"/>
          <w:b w:val="false"/>
          <w:i w:val="false"/>
          <w:color w:val="000000"/>
          <w:sz w:val="28"/>
        </w:rPr>
        <w:t>
      по социально значимым сообщениям -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а также копию договора на оказание услуг с оператором локомотивной тяги в пассажирском движении;</w:t>
      </w:r>
    </w:p>
    <w:bookmarkEnd w:id="7"/>
    <w:bookmarkStart w:name="z14" w:id="8"/>
    <w:p>
      <w:pPr>
        <w:spacing w:after="0"/>
        <w:ind w:left="0"/>
        <w:jc w:val="both"/>
      </w:pPr>
      <w:r>
        <w:rPr>
          <w:rFonts w:ascii="Times New Roman"/>
          <w:b w:val="false"/>
          <w:i w:val="false"/>
          <w:color w:val="000000"/>
          <w:sz w:val="28"/>
        </w:rPr>
        <w:t>
      по новым железнодорожным сообщениям, не относящимся к социально значимым пассажирским сообщениям – согласование уполномоченного органа, подтверждающее целесообразность осуществления перевозок пассажиров на коммерческой основе без выделения государственных субсидий.";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"19. Перевозчик подает национальному оператору инфраструктуры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 которой прилагаются следующие документы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информация:</w:t>
      </w:r>
    </w:p>
    <w:bookmarkEnd w:id="9"/>
    <w:bookmarkStart w:name="z17" w:id="10"/>
    <w:p>
      <w:pPr>
        <w:spacing w:after="0"/>
        <w:ind w:left="0"/>
        <w:jc w:val="both"/>
      </w:pPr>
      <w:r>
        <w:rPr>
          <w:rFonts w:ascii="Times New Roman"/>
          <w:b w:val="false"/>
          <w:i w:val="false"/>
          <w:color w:val="000000"/>
          <w:sz w:val="28"/>
        </w:rPr>
        <w:t>
      1) проект плана формирования поездов перевозчика по форме, утвержденной национальным оператором инфраструктуры;</w:t>
      </w:r>
    </w:p>
    <w:bookmarkEnd w:id="10"/>
    <w:bookmarkStart w:name="z18" w:id="11"/>
    <w:p>
      <w:pPr>
        <w:spacing w:after="0"/>
        <w:ind w:left="0"/>
        <w:jc w:val="both"/>
      </w:pPr>
      <w:r>
        <w:rPr>
          <w:rFonts w:ascii="Times New Roman"/>
          <w:b w:val="false"/>
          <w:i w:val="false"/>
          <w:color w:val="000000"/>
          <w:sz w:val="28"/>
        </w:rPr>
        <w:t>
      2) проект расписания и графика движения поездов перевозчика по форме, утвержденной национальным оператором инфраструктуры;</w:t>
      </w:r>
    </w:p>
    <w:bookmarkEnd w:id="11"/>
    <w:bookmarkStart w:name="z19" w:id="12"/>
    <w:p>
      <w:pPr>
        <w:spacing w:after="0"/>
        <w:ind w:left="0"/>
        <w:jc w:val="both"/>
      </w:pPr>
      <w:r>
        <w:rPr>
          <w:rFonts w:ascii="Times New Roman"/>
          <w:b w:val="false"/>
          <w:i w:val="false"/>
          <w:color w:val="000000"/>
          <w:sz w:val="28"/>
        </w:rPr>
        <w:t>
      3) планируемые годовые объемы перевозок (с разбивкой по кварталам и месяцам для каждой нитки графика) согласно приложению 2 к настоящим Правилам;</w:t>
      </w:r>
    </w:p>
    <w:bookmarkEnd w:id="12"/>
    <w:bookmarkStart w:name="z20" w:id="13"/>
    <w:p>
      <w:pPr>
        <w:spacing w:after="0"/>
        <w:ind w:left="0"/>
        <w:jc w:val="both"/>
      </w:pPr>
      <w:r>
        <w:rPr>
          <w:rFonts w:ascii="Times New Roman"/>
          <w:b w:val="false"/>
          <w:i w:val="false"/>
          <w:color w:val="000000"/>
          <w:sz w:val="28"/>
        </w:rPr>
        <w:t>
      4) объемы перевозок за предшествующий год с разбивкой по месяцам в разрезе по направлениям согласно приложению 3 к настоящим Правилам;</w:t>
      </w:r>
    </w:p>
    <w:bookmarkEnd w:id="13"/>
    <w:bookmarkStart w:name="z21" w:id="14"/>
    <w:p>
      <w:pPr>
        <w:spacing w:after="0"/>
        <w:ind w:left="0"/>
        <w:jc w:val="both"/>
      </w:pPr>
      <w:r>
        <w:rPr>
          <w:rFonts w:ascii="Times New Roman"/>
          <w:b w:val="false"/>
          <w:i w:val="false"/>
          <w:color w:val="000000"/>
          <w:sz w:val="28"/>
        </w:rPr>
        <w:t xml:space="preserve">
      5) свидетельство о государственной регистрации подвижного состава по форме, указанной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подвижного состава и его залога, утвержденных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за № 90591, опубликован в информационно-правовой системе "Әділет" от 18 июня 2015 года);</w:t>
      </w:r>
    </w:p>
    <w:bookmarkEnd w:id="14"/>
    <w:bookmarkStart w:name="z22" w:id="15"/>
    <w:p>
      <w:pPr>
        <w:spacing w:after="0"/>
        <w:ind w:left="0"/>
        <w:jc w:val="both"/>
      </w:pPr>
      <w:r>
        <w:rPr>
          <w:rFonts w:ascii="Times New Roman"/>
          <w:b w:val="false"/>
          <w:i w:val="false"/>
          <w:color w:val="000000"/>
          <w:sz w:val="28"/>
        </w:rPr>
        <w:t>
      6) документ, подтверждающий право собственности или право пользования подвижным составом;</w:t>
      </w:r>
    </w:p>
    <w:bookmarkEnd w:id="15"/>
    <w:bookmarkStart w:name="z23" w:id="16"/>
    <w:p>
      <w:pPr>
        <w:spacing w:after="0"/>
        <w:ind w:left="0"/>
        <w:jc w:val="both"/>
      </w:pPr>
      <w:r>
        <w:rPr>
          <w:rFonts w:ascii="Times New Roman"/>
          <w:b w:val="false"/>
          <w:i w:val="false"/>
          <w:color w:val="000000"/>
          <w:sz w:val="28"/>
        </w:rPr>
        <w:t>
      7) документ о наличии базы технического обслуживания и ремонта подвижного состава или при отсутствии такой базы, договора (договоров) на проведение ремонтных работ;</w:t>
      </w:r>
    </w:p>
    <w:bookmarkEnd w:id="16"/>
    <w:bookmarkStart w:name="z24" w:id="17"/>
    <w:p>
      <w:pPr>
        <w:spacing w:after="0"/>
        <w:ind w:left="0"/>
        <w:jc w:val="both"/>
      </w:pPr>
      <w:r>
        <w:rPr>
          <w:rFonts w:ascii="Times New Roman"/>
          <w:b w:val="false"/>
          <w:i w:val="false"/>
          <w:color w:val="000000"/>
          <w:sz w:val="28"/>
        </w:rPr>
        <w:t>
      8) перечень подвижного состава, планируемого к перевозке, согласно приложению 4 к настоящим Правилам, с указанием:</w:t>
      </w:r>
    </w:p>
    <w:bookmarkEnd w:id="17"/>
    <w:bookmarkStart w:name="z25" w:id="18"/>
    <w:p>
      <w:pPr>
        <w:spacing w:after="0"/>
        <w:ind w:left="0"/>
        <w:jc w:val="both"/>
      </w:pPr>
      <w:r>
        <w:rPr>
          <w:rFonts w:ascii="Times New Roman"/>
          <w:b w:val="false"/>
          <w:i w:val="false"/>
          <w:color w:val="000000"/>
          <w:sz w:val="28"/>
        </w:rPr>
        <w:t>
      вида и принадлежности;</w:t>
      </w:r>
    </w:p>
    <w:bookmarkEnd w:id="18"/>
    <w:bookmarkStart w:name="z26" w:id="19"/>
    <w:p>
      <w:pPr>
        <w:spacing w:after="0"/>
        <w:ind w:left="0"/>
        <w:jc w:val="both"/>
      </w:pPr>
      <w:r>
        <w:rPr>
          <w:rFonts w:ascii="Times New Roman"/>
          <w:b w:val="false"/>
          <w:i w:val="false"/>
          <w:color w:val="000000"/>
          <w:sz w:val="28"/>
        </w:rPr>
        <w:t>
      количества вагонов, планируемых к перевозке;</w:t>
      </w:r>
    </w:p>
    <w:bookmarkEnd w:id="19"/>
    <w:bookmarkStart w:name="z27" w:id="20"/>
    <w:p>
      <w:pPr>
        <w:spacing w:after="0"/>
        <w:ind w:left="0"/>
        <w:jc w:val="both"/>
      </w:pPr>
      <w:r>
        <w:rPr>
          <w:rFonts w:ascii="Times New Roman"/>
          <w:b w:val="false"/>
          <w:i w:val="false"/>
          <w:color w:val="000000"/>
          <w:sz w:val="28"/>
        </w:rPr>
        <w:t>
      типов и характеристик локомотивов, предусмотренных перевозчиком для обеспечения перевозок;</w:t>
      </w:r>
    </w:p>
    <w:bookmarkEnd w:id="20"/>
    <w:bookmarkStart w:name="z28" w:id="21"/>
    <w:p>
      <w:pPr>
        <w:spacing w:after="0"/>
        <w:ind w:left="0"/>
        <w:jc w:val="both"/>
      </w:pPr>
      <w:r>
        <w:rPr>
          <w:rFonts w:ascii="Times New Roman"/>
          <w:b w:val="false"/>
          <w:i w:val="false"/>
          <w:color w:val="000000"/>
          <w:sz w:val="28"/>
        </w:rPr>
        <w:t>
      9) информация (письмо, подписанное первым руководителем или лицом его заменяющим), подтверждающая наличие технической возможности составления и обработки перевозочных документов (вагонные и натурные листы), необходимых для передачи и обмена информацией с национальным оператором инфраструктуры для осуществления перевозочной деятельности либо договор с перевозчиком, имеющим такую возможность;</w:t>
      </w:r>
    </w:p>
    <w:bookmarkEnd w:id="21"/>
    <w:bookmarkStart w:name="z29" w:id="22"/>
    <w:p>
      <w:pPr>
        <w:spacing w:after="0"/>
        <w:ind w:left="0"/>
        <w:jc w:val="both"/>
      </w:pPr>
      <w:r>
        <w:rPr>
          <w:rFonts w:ascii="Times New Roman"/>
          <w:b w:val="false"/>
          <w:i w:val="false"/>
          <w:color w:val="000000"/>
          <w:sz w:val="28"/>
        </w:rPr>
        <w:t>
      10) в случае осуществления деятельности по перевозке грузов:</w:t>
      </w:r>
    </w:p>
    <w:bookmarkEnd w:id="22"/>
    <w:bookmarkStart w:name="z30" w:id="23"/>
    <w:p>
      <w:pPr>
        <w:spacing w:after="0"/>
        <w:ind w:left="0"/>
        <w:jc w:val="both"/>
      </w:pPr>
      <w:r>
        <w:rPr>
          <w:rFonts w:ascii="Times New Roman"/>
          <w:b w:val="false"/>
          <w:i w:val="false"/>
          <w:color w:val="000000"/>
          <w:sz w:val="28"/>
        </w:rPr>
        <w:t xml:space="preserve">
      копия лицензии на осуществление деятельности по перевозке грузов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3"/>
    <w:bookmarkStart w:name="z31" w:id="24"/>
    <w:p>
      <w:pPr>
        <w:spacing w:after="0"/>
        <w:ind w:left="0"/>
        <w:jc w:val="both"/>
      </w:pPr>
      <w:r>
        <w:rPr>
          <w:rFonts w:ascii="Times New Roman"/>
          <w:b w:val="false"/>
          <w:i w:val="false"/>
          <w:color w:val="000000"/>
          <w:sz w:val="28"/>
        </w:rPr>
        <w:t>
      информация о видах перевозимых грузов;</w:t>
      </w:r>
    </w:p>
    <w:bookmarkEnd w:id="24"/>
    <w:bookmarkStart w:name="z32" w:id="25"/>
    <w:p>
      <w:pPr>
        <w:spacing w:after="0"/>
        <w:ind w:left="0"/>
        <w:jc w:val="both"/>
      </w:pP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p>
    <w:bookmarkEnd w:id="25"/>
    <w:bookmarkStart w:name="z33" w:id="26"/>
    <w:p>
      <w:pPr>
        <w:spacing w:after="0"/>
        <w:ind w:left="0"/>
        <w:jc w:val="both"/>
      </w:pPr>
      <w:r>
        <w:rPr>
          <w:rFonts w:ascii="Times New Roman"/>
          <w:b w:val="false"/>
          <w:i w:val="false"/>
          <w:color w:val="000000"/>
          <w:sz w:val="28"/>
        </w:rPr>
        <w:t>
      12) справка или свидетельство о государственной регистрации (перерегистрации) юридического лица либо филиала на территории нахождения магистральной железнодорожной сети;</w:t>
      </w:r>
    </w:p>
    <w:bookmarkEnd w:id="26"/>
    <w:bookmarkStart w:name="z34" w:id="27"/>
    <w:p>
      <w:pPr>
        <w:spacing w:after="0"/>
        <w:ind w:left="0"/>
        <w:jc w:val="both"/>
      </w:pPr>
      <w:r>
        <w:rPr>
          <w:rFonts w:ascii="Times New Roman"/>
          <w:b w:val="false"/>
          <w:i w:val="false"/>
          <w:color w:val="000000"/>
          <w:sz w:val="28"/>
        </w:rPr>
        <w:t>
      13) сведения об отсутствии (наличии) задолженности, учет по которым ведется в органах государственных доходов. В случае, если в сведениях указана задолженность, необходимо приложить документы, подтверждающие сроки образования данной задолженности;</w:t>
      </w:r>
    </w:p>
    <w:bookmarkEnd w:id="27"/>
    <w:bookmarkStart w:name="z35" w:id="28"/>
    <w:p>
      <w:pPr>
        <w:spacing w:after="0"/>
        <w:ind w:left="0"/>
        <w:jc w:val="both"/>
      </w:pPr>
      <w:r>
        <w:rPr>
          <w:rFonts w:ascii="Times New Roman"/>
          <w:b w:val="false"/>
          <w:i w:val="false"/>
          <w:color w:val="000000"/>
          <w:sz w:val="28"/>
        </w:rPr>
        <w:t>
      14) договоры страхования железнодорожного транспорта, грузов и гражданско-правовой ответственности, заключенные со страховой организацией в соответствии с законодательством Республики Казахстан о страховании и страховой деятельности;</w:t>
      </w:r>
    </w:p>
    <w:bookmarkEnd w:id="28"/>
    <w:bookmarkStart w:name="z36" w:id="29"/>
    <w:p>
      <w:pPr>
        <w:spacing w:after="0"/>
        <w:ind w:left="0"/>
        <w:jc w:val="both"/>
      </w:pPr>
      <w:r>
        <w:rPr>
          <w:rFonts w:ascii="Times New Roman"/>
          <w:b w:val="false"/>
          <w:i w:val="false"/>
          <w:color w:val="000000"/>
          <w:sz w:val="28"/>
        </w:rPr>
        <w:t>
      15) копия отчета последней аудиторской проверки и приложения к нему;</w:t>
      </w:r>
    </w:p>
    <w:bookmarkEnd w:id="29"/>
    <w:bookmarkStart w:name="z37" w:id="30"/>
    <w:p>
      <w:pPr>
        <w:spacing w:after="0"/>
        <w:ind w:left="0"/>
        <w:jc w:val="both"/>
      </w:pPr>
      <w:r>
        <w:rPr>
          <w:rFonts w:ascii="Times New Roman"/>
          <w:b w:val="false"/>
          <w:i w:val="false"/>
          <w:color w:val="000000"/>
          <w:sz w:val="28"/>
        </w:rPr>
        <w:t>
      16) денежное обеспечение заявки в размере, равном 0,1% (ноль целых одна десятая процента) от стоимости планируемого объема услуг (либо банковская гарантия на указанную сумму);</w:t>
      </w:r>
    </w:p>
    <w:bookmarkEnd w:id="30"/>
    <w:bookmarkStart w:name="z38" w:id="31"/>
    <w:p>
      <w:pPr>
        <w:spacing w:after="0"/>
        <w:ind w:left="0"/>
        <w:jc w:val="both"/>
      </w:pPr>
      <w:r>
        <w:rPr>
          <w:rFonts w:ascii="Times New Roman"/>
          <w:b w:val="false"/>
          <w:i w:val="false"/>
          <w:color w:val="000000"/>
          <w:sz w:val="28"/>
        </w:rPr>
        <w:t>
      17) доверенность на право подписания договора, в случае, если представителем юридического лица выступают не первый руководитель или лицо, исполняющее обязанности первого руководителя, при подписании данного договора представляет доверенное лицо;</w:t>
      </w:r>
    </w:p>
    <w:bookmarkEnd w:id="31"/>
    <w:bookmarkStart w:name="z39" w:id="32"/>
    <w:p>
      <w:pPr>
        <w:spacing w:after="0"/>
        <w:ind w:left="0"/>
        <w:jc w:val="both"/>
      </w:pPr>
      <w:r>
        <w:rPr>
          <w:rFonts w:ascii="Times New Roman"/>
          <w:b w:val="false"/>
          <w:i w:val="false"/>
          <w:color w:val="000000"/>
          <w:sz w:val="28"/>
        </w:rPr>
        <w:t>
      18) информация о квалификации локомотивных бригад и знании ими плана и профиля участков обслуживания согласно приложению 5 к настоящим Правилам.</w:t>
      </w:r>
    </w:p>
    <w:bookmarkEnd w:id="32"/>
    <w:bookmarkStart w:name="z40" w:id="33"/>
    <w:p>
      <w:pPr>
        <w:spacing w:after="0"/>
        <w:ind w:left="0"/>
        <w:jc w:val="both"/>
      </w:pPr>
      <w:r>
        <w:rPr>
          <w:rFonts w:ascii="Times New Roman"/>
          <w:b w:val="false"/>
          <w:i w:val="false"/>
          <w:color w:val="000000"/>
          <w:sz w:val="28"/>
        </w:rPr>
        <w:t>
      Требование, установленное подпунктом 16) настоящего пункта Правил, не распространяется на перевозчика, осуществляющего повагонные отправки.</w:t>
      </w:r>
    </w:p>
    <w:bookmarkEnd w:id="33"/>
    <w:bookmarkStart w:name="z41" w:id="34"/>
    <w:p>
      <w:pPr>
        <w:spacing w:after="0"/>
        <w:ind w:left="0"/>
        <w:jc w:val="both"/>
      </w:pPr>
      <w:r>
        <w:rPr>
          <w:rFonts w:ascii="Times New Roman"/>
          <w:b w:val="false"/>
          <w:i w:val="false"/>
          <w:color w:val="000000"/>
          <w:sz w:val="28"/>
        </w:rPr>
        <w:t>
      При этом, образцы форм проекта плана формирования поездов перевозчика и проекта расписания и графика движения поездов перевозчика, указанных в подпунктах 1), 2) пункта 19 настоящих Правил, размещаются на официальном интернет ресурсе Национального оператора инфраструктуры.</w:t>
      </w:r>
    </w:p>
    <w:bookmarkEnd w:id="34"/>
    <w:bookmarkStart w:name="z42" w:id="35"/>
    <w:p>
      <w:pPr>
        <w:spacing w:after="0"/>
        <w:ind w:left="0"/>
        <w:jc w:val="both"/>
      </w:pPr>
      <w:r>
        <w:rPr>
          <w:rFonts w:ascii="Times New Roman"/>
          <w:b w:val="false"/>
          <w:i w:val="false"/>
          <w:color w:val="000000"/>
          <w:sz w:val="28"/>
        </w:rPr>
        <w:t>
      Требования, установленные подпунктами 5), 6), 7), 14), 15), 18) настоящего пункта Правил, не распространяются на перевозчика, осуществляющего перевозки по социально значимым сообщениям.".</w:t>
      </w:r>
    </w:p>
    <w:bookmarkEnd w:id="35"/>
    <w:bookmarkStart w:name="z43" w:id="36"/>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законодательном порядке обеспечить:</w:t>
      </w:r>
    </w:p>
    <w:bookmarkEnd w:id="36"/>
    <w:bookmarkStart w:name="z44"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45" w:id="3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8"/>
    <w:bookmarkStart w:name="z46"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9"/>
    <w:bookmarkStart w:name="z47"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49" w:id="4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"__"___________20___ года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