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fedeb" w14:textId="77fed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страховой деятельности и рынка ценных бумаг</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25 мая 2020 года № 60. Зарегистрировано в Министерстве юстиции Республики Казахстан 27 мая 2020 года № 20734</w:t>
      </w:r>
    </w:p>
    <w:p>
      <w:pPr>
        <w:spacing w:after="0"/>
        <w:ind w:left="0"/>
        <w:jc w:val="both"/>
      </w:pPr>
      <w:bookmarkStart w:name="z4" w:id="0"/>
      <w:r>
        <w:rPr>
          <w:rFonts w:ascii="Times New Roman"/>
          <w:b w:val="false"/>
          <w:i w:val="false"/>
          <w:color w:val="000000"/>
          <w:sz w:val="28"/>
        </w:rPr>
        <w:t>
      В целях совершенствования нормативных правовых актов Республики Казахстан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Перечень нормативных правовых актов Республики Казахстан по вопросам регулирования страховой деятельности и рынка ценных бумаг, в которые вносятся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5"/>
    <w:bookmarkStart w:name="z10" w:id="6"/>
    <w:p>
      <w:pPr>
        <w:spacing w:after="0"/>
        <w:ind w:left="0"/>
        <w:jc w:val="both"/>
      </w:pPr>
      <w:r>
        <w:rPr>
          <w:rFonts w:ascii="Times New Roman"/>
          <w:b w:val="false"/>
          <w:i w:val="false"/>
          <w:color w:val="000000"/>
          <w:sz w:val="28"/>
        </w:rPr>
        <w:t>
      3.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7"/>
    <w:bookmarkStart w:name="z12"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r>
              <w:br/>
            </w:r>
            <w:r>
              <w:rPr>
                <w:rFonts w:ascii="Times New Roman"/>
                <w:b w:val="false"/>
                <w:i/>
                <w:color w:val="000000"/>
                <w:sz w:val="20"/>
              </w:rPr>
              <w:t>Республики Казахстан по регулированию и развитию</w:t>
            </w:r>
            <w:r>
              <w:br/>
            </w: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25 мая 2020 года № 60</w:t>
            </w:r>
          </w:p>
        </w:tc>
      </w:tr>
    </w:tbl>
    <w:bookmarkStart w:name="z15" w:id="9"/>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страховой деятельности и рынка ценных бумаг, в которые вносятся изменения и дополнения</w:t>
      </w:r>
    </w:p>
    <w:bookmarkEnd w:id="9"/>
    <w:bookmarkStart w:name="z16"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апреля 2012 года № 165 "Об утверждении Требований к программно-техническим средствам и иному оборудованию, необходимым для осуществления деятельности на рынке ценных бумаг" (зарегистрировано в Реестре государственной регистрации нормативных правовых актов под № 7734, опубликовано 29 августа 2012 года в газете "Казахстанская правда" № 290-291 (27109-27110) следующие изменения:</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программно-техническим средствам и иному оборудованию, необходимым для осуществления деятельности на рынке ценных бумаг, утвержденных указанным постановлением: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"Настоящие Требования к программно-техническим средствам и иному оборудованию, необходимым для осуществления деятельности на рынке ценных бумаг (далее - Требования), определяют требования к программно-техническим средствам и иному оборудованию, необходимым для осуществления деятельности на рынке ценных бумаг (далее - программное обеспечение), и организации безопасной работы, обеспечивающей сохранность и защиту информации от несанкционированного доступа к данным, хранящимся у профессиональных участников рынка ценных бумаг.</w:t>
      </w:r>
    </w:p>
    <w:bookmarkEnd w:id="12"/>
    <w:bookmarkStart w:name="z20" w:id="13"/>
    <w:p>
      <w:pPr>
        <w:spacing w:after="0"/>
        <w:ind w:left="0"/>
        <w:jc w:val="both"/>
      </w:pPr>
      <w:r>
        <w:rPr>
          <w:rFonts w:ascii="Times New Roman"/>
          <w:b w:val="false"/>
          <w:i w:val="false"/>
          <w:color w:val="000000"/>
          <w:sz w:val="28"/>
        </w:rPr>
        <w:t>
      Действие Требований не распространяется на:</w:t>
      </w:r>
    </w:p>
    <w:bookmarkEnd w:id="13"/>
    <w:bookmarkStart w:name="z21" w:id="14"/>
    <w:p>
      <w:pPr>
        <w:spacing w:after="0"/>
        <w:ind w:left="0"/>
        <w:jc w:val="both"/>
      </w:pPr>
      <w:r>
        <w:rPr>
          <w:rFonts w:ascii="Times New Roman"/>
          <w:b w:val="false"/>
          <w:i w:val="false"/>
          <w:color w:val="000000"/>
          <w:sz w:val="28"/>
        </w:rPr>
        <w:t>
      1) отношения, возникающие при использовании информационных ресурсов Национального Банка Республики Казахстан и (или) уполномоченного органа по регулированию, контролю и надзору финансового рынка и финансовых организаций (далее – уполномоченный орган) на основании соответствующего соглашения, заключенного между профессиональным участником рынка ценных бумаг и Национальным Банком Республики Казахстан и (или) уполномоченным органом;</w:t>
      </w:r>
    </w:p>
    <w:bookmarkEnd w:id="14"/>
    <w:bookmarkStart w:name="z22" w:id="15"/>
    <w:p>
      <w:pPr>
        <w:spacing w:after="0"/>
        <w:ind w:left="0"/>
        <w:jc w:val="both"/>
      </w:pPr>
      <w:r>
        <w:rPr>
          <w:rFonts w:ascii="Times New Roman"/>
          <w:b w:val="false"/>
          <w:i w:val="false"/>
          <w:color w:val="000000"/>
          <w:sz w:val="28"/>
        </w:rPr>
        <w:t>
      2) страховые организации, осуществляющие деятельность в отрасли "страхование жизни", имеющие лицензию уполномоченного органа на осуществление деятельности по управлению инвестиционным портфелем на рынке ценных бумаг.";</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1 изложить в следующей редакции:</w:t>
      </w:r>
    </w:p>
    <w:bookmarkStart w:name="z24" w:id="16"/>
    <w:p>
      <w:pPr>
        <w:spacing w:after="0"/>
        <w:ind w:left="0"/>
        <w:jc w:val="both"/>
      </w:pPr>
      <w:r>
        <w:rPr>
          <w:rFonts w:ascii="Times New Roman"/>
          <w:b w:val="false"/>
          <w:i w:val="false"/>
          <w:color w:val="000000"/>
          <w:sz w:val="28"/>
        </w:rPr>
        <w:t>
      "6) автоматизированное формирование форм отчетов, представляемых профессиональными участниками рынка ценных бумаг в Национальный Банк Республики Казахстан, а также выписок с лицевого счета, отчетов о проведенных операциях;".</w:t>
      </w:r>
    </w:p>
    <w:bookmarkEnd w:id="16"/>
    <w:bookmarkStart w:name="z25" w:id="1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июля 2013 года № 184 "Об утверждении Правил осуществления кастодиальной деятельности на рынке ценных бумаг Республики Казахстан" (зарегистрировано в Реестре государственной регистрации нормативных правовых актов под № 8692, опубликовано 17 октября 2013 года в газете "Казахстанская правда" № 295 (27569) следующие изменение и дополнения:</w:t>
      </w:r>
    </w:p>
    <w:bookmarkEnd w:id="17"/>
    <w:bookmarkStart w:name="z26"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кастодиальной деятельности на рынке ценных бумаг Республики Казахстан, утвержденных указанным постановлением:</w:t>
      </w:r>
    </w:p>
    <w:bookmarkEnd w:id="18"/>
    <w:bookmarkStart w:name="z27" w:id="19"/>
    <w:p>
      <w:pPr>
        <w:spacing w:after="0"/>
        <w:ind w:left="0"/>
        <w:jc w:val="both"/>
      </w:pPr>
      <w:r>
        <w:rPr>
          <w:rFonts w:ascii="Times New Roman"/>
          <w:b w:val="false"/>
          <w:i w:val="false"/>
          <w:color w:val="000000"/>
          <w:sz w:val="28"/>
        </w:rPr>
        <w:t>
      дополнить пунктом 18-1 в следующей редакции:</w:t>
      </w:r>
    </w:p>
    <w:bookmarkEnd w:id="19"/>
    <w:bookmarkStart w:name="z28" w:id="20"/>
    <w:p>
      <w:pPr>
        <w:spacing w:after="0"/>
        <w:ind w:left="0"/>
        <w:jc w:val="both"/>
      </w:pPr>
      <w:r>
        <w:rPr>
          <w:rFonts w:ascii="Times New Roman"/>
          <w:b w:val="false"/>
          <w:i w:val="false"/>
          <w:color w:val="000000"/>
          <w:sz w:val="28"/>
        </w:rPr>
        <w:t>
      "18-1. Учет и хранение активов, составляющих инвестиционный портфель, сформированный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осуществляется кастодианом на основании кастодиального договора, заключенного между кастодианом и управляющим инвестиционным портфелем.";</w:t>
      </w:r>
    </w:p>
    <w:bookmarkEnd w:id="20"/>
    <w:bookmarkStart w:name="z29" w:id="21"/>
    <w:p>
      <w:pPr>
        <w:spacing w:after="0"/>
        <w:ind w:left="0"/>
        <w:jc w:val="both"/>
      </w:pPr>
      <w:r>
        <w:rPr>
          <w:rFonts w:ascii="Times New Roman"/>
          <w:b w:val="false"/>
          <w:i w:val="false"/>
          <w:color w:val="000000"/>
          <w:sz w:val="28"/>
        </w:rPr>
        <w:t>
      дополнить пунктом 22-1 в следующей редакции:</w:t>
      </w:r>
    </w:p>
    <w:bookmarkEnd w:id="21"/>
    <w:bookmarkStart w:name="z30" w:id="22"/>
    <w:p>
      <w:pPr>
        <w:spacing w:after="0"/>
        <w:ind w:left="0"/>
        <w:jc w:val="both"/>
      </w:pPr>
      <w:r>
        <w:rPr>
          <w:rFonts w:ascii="Times New Roman"/>
          <w:b w:val="false"/>
          <w:i w:val="false"/>
          <w:color w:val="000000"/>
          <w:sz w:val="28"/>
        </w:rPr>
        <w:t>
      "22-1. В целях реализации функций по хранению и учету активов, составляющих инвестиционный портфель, сформированный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(далее в настоящем пункте – инвестиционный портфель), кастодиан осуществляет:</w:t>
      </w:r>
    </w:p>
    <w:bookmarkEnd w:id="22"/>
    <w:bookmarkStart w:name="z31" w:id="23"/>
    <w:p>
      <w:pPr>
        <w:spacing w:after="0"/>
        <w:ind w:left="0"/>
        <w:jc w:val="both"/>
      </w:pPr>
      <w:r>
        <w:rPr>
          <w:rFonts w:ascii="Times New Roman"/>
          <w:b w:val="false"/>
          <w:i w:val="false"/>
          <w:color w:val="000000"/>
          <w:sz w:val="28"/>
        </w:rPr>
        <w:t>
      1) ежемесячное информирование управляющего инвестиционным портфелем о состоянии банковских счетов, предназначенных для учета и хранения денег, составляющих инвестиционный портфель, а также о движении денег по банковским счетам в отчетном периоде по форме, в порядке и сроки, предусмотренные внутренними документами кастодиана и кастодиальным договором;</w:t>
      </w:r>
    </w:p>
    <w:bookmarkEnd w:id="23"/>
    <w:bookmarkStart w:name="z32" w:id="24"/>
    <w:p>
      <w:pPr>
        <w:spacing w:after="0"/>
        <w:ind w:left="0"/>
        <w:jc w:val="both"/>
      </w:pPr>
      <w:r>
        <w:rPr>
          <w:rFonts w:ascii="Times New Roman"/>
          <w:b w:val="false"/>
          <w:i w:val="false"/>
          <w:color w:val="000000"/>
          <w:sz w:val="28"/>
        </w:rPr>
        <w:t xml:space="preserve">
      2) ежемесячное составление отчета о структуре активов, составляющих инвестиционный портфель, по форме, определенной внутренними документами кастодиана, для представления управляющему инвестиционным портфелем, в управлении которого находится инвестиционный портфель, в порядке и сроки, установленные кастодиальным договором, в том числе для проведения сверки в соответствии с </w:t>
      </w:r>
      <w:r>
        <w:rPr>
          <w:rFonts w:ascii="Times New Roman"/>
          <w:b w:val="false"/>
          <w:i w:val="false"/>
          <w:color w:val="000000"/>
          <w:sz w:val="28"/>
        </w:rPr>
        <w:t>пунктом 36</w:t>
      </w:r>
      <w:r>
        <w:rPr>
          <w:rFonts w:ascii="Times New Roman"/>
          <w:b w:val="false"/>
          <w:i w:val="false"/>
          <w:color w:val="000000"/>
          <w:sz w:val="28"/>
        </w:rPr>
        <w:t xml:space="preserve"> Правил;</w:t>
      </w:r>
    </w:p>
    <w:bookmarkEnd w:id="24"/>
    <w:bookmarkStart w:name="z33" w:id="25"/>
    <w:p>
      <w:pPr>
        <w:spacing w:after="0"/>
        <w:ind w:left="0"/>
        <w:jc w:val="both"/>
      </w:pPr>
      <w:r>
        <w:rPr>
          <w:rFonts w:ascii="Times New Roman"/>
          <w:b w:val="false"/>
          <w:i w:val="false"/>
          <w:color w:val="000000"/>
          <w:sz w:val="28"/>
        </w:rPr>
        <w:t>
      3) учет обязательств, подлежащих исполнению за счет активов, составляющих инвестиционный портфель, в том числе по комиссионным вознаграждениям лицам, обеспечивающим управление инвестиционным портфелем;</w:t>
      </w:r>
    </w:p>
    <w:bookmarkEnd w:id="25"/>
    <w:bookmarkStart w:name="z34" w:id="26"/>
    <w:p>
      <w:pPr>
        <w:spacing w:after="0"/>
        <w:ind w:left="0"/>
        <w:jc w:val="both"/>
      </w:pPr>
      <w:r>
        <w:rPr>
          <w:rFonts w:ascii="Times New Roman"/>
          <w:b w:val="false"/>
          <w:i w:val="false"/>
          <w:color w:val="000000"/>
          <w:sz w:val="28"/>
        </w:rPr>
        <w:t>
      4) контроль за соответствием состава активов, составляющих инвестиционный портфель, требованиям инвестиционной декларации;</w:t>
      </w:r>
    </w:p>
    <w:bookmarkEnd w:id="26"/>
    <w:bookmarkStart w:name="z35" w:id="27"/>
    <w:p>
      <w:pPr>
        <w:spacing w:after="0"/>
        <w:ind w:left="0"/>
        <w:jc w:val="both"/>
      </w:pPr>
      <w:r>
        <w:rPr>
          <w:rFonts w:ascii="Times New Roman"/>
          <w:b w:val="false"/>
          <w:i w:val="false"/>
          <w:color w:val="000000"/>
          <w:sz w:val="28"/>
        </w:rPr>
        <w:t>
      5) учет стоимости, движения и состава активов, составляющих инвестиционный портфель, а также расчет условной единицы активов инвестиционного портфеля.</w:t>
      </w:r>
    </w:p>
    <w:bookmarkEnd w:id="27"/>
    <w:bookmarkStart w:name="z36" w:id="28"/>
    <w:p>
      <w:pPr>
        <w:spacing w:after="0"/>
        <w:ind w:left="0"/>
        <w:jc w:val="both"/>
      </w:pPr>
      <w:r>
        <w:rPr>
          <w:rFonts w:ascii="Times New Roman"/>
          <w:b w:val="false"/>
          <w:i w:val="false"/>
          <w:color w:val="000000"/>
          <w:sz w:val="28"/>
        </w:rPr>
        <w:t>
      При выявлении несоответствия структуры (состава) активов инвестиционного портфеля требованиям инвестиционной декларации кастодиан не позднее рабочего дня, следующего за днем выявления несоответствия, направляет уведомление об этом в уполномоченный орган и управляющему инвестиционным портфелем.".</w:t>
      </w:r>
    </w:p>
    <w:bookmarkEnd w:id="28"/>
    <w:bookmarkStart w:name="z37" w:id="29"/>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2013 года № 214 "Об утверждении Правил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(зарегистрировано в Реестре государственной регистрации нормативных правовых актов под № 8796, опубликовано 5 декабря 2013 года в газете "Юридическая газета" № 183 (2558) следующие изменения:</w:t>
      </w:r>
    </w:p>
    <w:bookmarkEnd w:id="29"/>
    <w:bookmarkStart w:name="z38"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утвержденных указанным постановлением: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0" w:id="31"/>
    <w:p>
      <w:pPr>
        <w:spacing w:after="0"/>
        <w:ind w:left="0"/>
        <w:jc w:val="both"/>
      </w:pPr>
      <w:r>
        <w:rPr>
          <w:rFonts w:ascii="Times New Roman"/>
          <w:b w:val="false"/>
          <w:i w:val="false"/>
          <w:color w:val="000000"/>
          <w:sz w:val="28"/>
        </w:rPr>
        <w:t xml:space="preserve">
      "3. Банки второго уровня, осуществляющие брокерскую и дилерскую деятельность на рынке ценных бумаг, формируют систему управления рисками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зарегистрированным в Реестре государственной регистрации нормативных правовых актов под № 19632.</w:t>
      </w:r>
    </w:p>
    <w:bookmarkEnd w:id="31"/>
    <w:bookmarkStart w:name="z41" w:id="32"/>
    <w:p>
      <w:pPr>
        <w:spacing w:after="0"/>
        <w:ind w:left="0"/>
        <w:jc w:val="both"/>
      </w:pPr>
      <w:r>
        <w:rPr>
          <w:rFonts w:ascii="Times New Roman"/>
          <w:b w:val="false"/>
          <w:i w:val="false"/>
          <w:color w:val="000000"/>
          <w:sz w:val="28"/>
        </w:rPr>
        <w:t xml:space="preserve">
      Страховые организации, осуществляющие деятельность в отрасли "страхование жизни", имеющие лицензию уполномоченного органа по регулированию, контролю и надзору финансового рынка и финансовых организаций (далее – уполномоченный орган) на осуществление деятельности по управлению инвестиционным портфелем на рынке ценных бумаг, формируют систему управления рисками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августа 2018 года № 198 "Об утверждении Правил формирования системы управления рисками и внутреннего контроля для страховых (перестраховочных) организаций", зарегистрированным в Реестре государственной регистрации нормативных правовых актов под № 17462.</w:t>
      </w:r>
    </w:p>
    <w:bookmarkEnd w:id="32"/>
    <w:bookmarkStart w:name="z42" w:id="33"/>
    <w:p>
      <w:pPr>
        <w:spacing w:after="0"/>
        <w:ind w:left="0"/>
        <w:jc w:val="both"/>
      </w:pPr>
      <w:r>
        <w:rPr>
          <w:rFonts w:ascii="Times New Roman"/>
          <w:b w:val="false"/>
          <w:i w:val="false"/>
          <w:color w:val="000000"/>
          <w:sz w:val="28"/>
        </w:rPr>
        <w:t>
      Требования Правил распространяются на страховые организации, осуществляющие деятельность в отрасли "страхование жизни", имеющие лицензию уполномоченного органа на осуществление деятельности по управлению инвестиционным портфелем на рынке ценных бумаг, в части порядка принятия инвестиционных решений в отношении активов, сформированных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а также порядка составления и содержания рекомендации и инвестиционного решения в отношении таких активов.";</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4" w:id="34"/>
    <w:p>
      <w:pPr>
        <w:spacing w:after="0"/>
        <w:ind w:left="0"/>
        <w:jc w:val="both"/>
      </w:pPr>
      <w:r>
        <w:rPr>
          <w:rFonts w:ascii="Times New Roman"/>
          <w:b w:val="false"/>
          <w:i w:val="false"/>
          <w:color w:val="000000"/>
          <w:sz w:val="28"/>
        </w:rPr>
        <w:t xml:space="preserve">
      "7. Брокеры и (или) дилеры, Управляющие ежегодно не позднее 1 июля года, следующего за отчетным, представляют в уполномоченный орган отчет по оценке выполнения требований к системе управления рисками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Правилам, который содержит:</w:t>
      </w:r>
    </w:p>
    <w:bookmarkEnd w:id="34"/>
    <w:bookmarkStart w:name="z45" w:id="35"/>
    <w:p>
      <w:pPr>
        <w:spacing w:after="0"/>
        <w:ind w:left="0"/>
        <w:jc w:val="both"/>
      </w:pPr>
      <w:r>
        <w:rPr>
          <w:rFonts w:ascii="Times New Roman"/>
          <w:b w:val="false"/>
          <w:i w:val="false"/>
          <w:color w:val="000000"/>
          <w:sz w:val="28"/>
        </w:rPr>
        <w:t>
      1) полный перечень требований к системе управления рисками;</w:t>
      </w:r>
    </w:p>
    <w:bookmarkEnd w:id="35"/>
    <w:bookmarkStart w:name="z46" w:id="36"/>
    <w:p>
      <w:pPr>
        <w:spacing w:after="0"/>
        <w:ind w:left="0"/>
        <w:jc w:val="both"/>
      </w:pPr>
      <w:r>
        <w:rPr>
          <w:rFonts w:ascii="Times New Roman"/>
          <w:b w:val="false"/>
          <w:i w:val="false"/>
          <w:color w:val="000000"/>
          <w:sz w:val="28"/>
        </w:rPr>
        <w:t>
      2) самостоятельную оценку соответствия (несоответствия) требованиям к системе управления рисками;</w:t>
      </w:r>
    </w:p>
    <w:bookmarkEnd w:id="36"/>
    <w:bookmarkStart w:name="z47" w:id="37"/>
    <w:p>
      <w:pPr>
        <w:spacing w:after="0"/>
        <w:ind w:left="0"/>
        <w:jc w:val="both"/>
      </w:pPr>
      <w:r>
        <w:rPr>
          <w:rFonts w:ascii="Times New Roman"/>
          <w:b w:val="false"/>
          <w:i w:val="false"/>
          <w:color w:val="000000"/>
          <w:sz w:val="28"/>
        </w:rPr>
        <w:t>
      3) в случае выявления недостатков в системе управления рисками план мероприятий по их устранению с указанием недостатка, который нуждается в исправлении, мероприятий, необходимых для исправления недостатка, ответственных лиц и конкретных сроков исполнения мероприятий.".</w:t>
      </w:r>
    </w:p>
    <w:bookmarkEnd w:id="37"/>
    <w:bookmarkStart w:name="z48" w:id="38"/>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10 "Об утверждении Правил осуществления деятельности по управлению инвестиционным портфелем" (зарегистрировано в Реестре государственной регистрации нормативных правовых актов под № 9248, опубликовано 16 апреля 2014 года в информационно-правовой системе "Әділет") следующие изменения и дополнения:</w:t>
      </w:r>
    </w:p>
    <w:bookmarkEnd w:id="38"/>
    <w:bookmarkStart w:name="z49"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по управлению инвестиционным портфелем, утвержденных указанным постановлением: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51" w:id="40"/>
    <w:p>
      <w:pPr>
        <w:spacing w:after="0"/>
        <w:ind w:left="0"/>
        <w:jc w:val="both"/>
      </w:pPr>
      <w:r>
        <w:rPr>
          <w:rFonts w:ascii="Times New Roman"/>
          <w:b w:val="false"/>
          <w:i w:val="false"/>
          <w:color w:val="000000"/>
          <w:sz w:val="28"/>
        </w:rPr>
        <w:t>
      "Настоящие Правила осуществления деятельности по управлению инвестиционным портфелем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от 1 июля 1999 года,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xml:space="preserve">,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(далее – Закон о рынке ценных бумаг),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от 7 июля 2004 года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xml:space="preserve"> (далее – Закон об инвестиционных фондах), от 20 февраля 2006 года </w:t>
      </w:r>
      <w:r>
        <w:rPr>
          <w:rFonts w:ascii="Times New Roman"/>
          <w:b w:val="false"/>
          <w:i w:val="false"/>
          <w:color w:val="000000"/>
          <w:sz w:val="28"/>
        </w:rPr>
        <w:t>"О проектном финансировании и секьюритизации"</w:t>
      </w:r>
      <w:r>
        <w:rPr>
          <w:rFonts w:ascii="Times New Roman"/>
          <w:b w:val="false"/>
          <w:i w:val="false"/>
          <w:color w:val="000000"/>
          <w:sz w:val="28"/>
        </w:rPr>
        <w:t xml:space="preserve"> (далее – Закон о секьюритизации), устанавливают условия и порядок осуществления деятельности по управлению инвестиционным портфелем в Республике Казахстан.</w:t>
      </w:r>
    </w:p>
    <w:bookmarkEnd w:id="40"/>
    <w:bookmarkStart w:name="z52" w:id="41"/>
    <w:p>
      <w:pPr>
        <w:spacing w:after="0"/>
        <w:ind w:left="0"/>
        <w:jc w:val="both"/>
      </w:pPr>
      <w:r>
        <w:rPr>
          <w:rFonts w:ascii="Times New Roman"/>
          <w:b w:val="false"/>
          <w:i w:val="false"/>
          <w:color w:val="000000"/>
          <w:sz w:val="28"/>
        </w:rPr>
        <w:t>
      Действие Правил распространяется на:</w:t>
      </w:r>
    </w:p>
    <w:bookmarkEnd w:id="41"/>
    <w:bookmarkStart w:name="z53" w:id="42"/>
    <w:p>
      <w:pPr>
        <w:spacing w:after="0"/>
        <w:ind w:left="0"/>
        <w:jc w:val="both"/>
      </w:pPr>
      <w:r>
        <w:rPr>
          <w:rFonts w:ascii="Times New Roman"/>
          <w:b w:val="false"/>
          <w:i w:val="false"/>
          <w:color w:val="000000"/>
          <w:sz w:val="28"/>
        </w:rPr>
        <w:t>
      организации, осуществляющие на основании лицензии уполномоченного органа деятельность по управлению инвестиционным портфелем без права привлечения добровольных пенсионных взносов;</w:t>
      </w:r>
    </w:p>
    <w:bookmarkEnd w:id="42"/>
    <w:bookmarkStart w:name="z54" w:id="43"/>
    <w:p>
      <w:pPr>
        <w:spacing w:after="0"/>
        <w:ind w:left="0"/>
        <w:jc w:val="both"/>
      </w:pPr>
      <w:r>
        <w:rPr>
          <w:rFonts w:ascii="Times New Roman"/>
          <w:b w:val="false"/>
          <w:i w:val="false"/>
          <w:color w:val="000000"/>
          <w:sz w:val="28"/>
        </w:rPr>
        <w:t>
      организации, осуществляющие на основании лицензии уполномоченного органа деятельность по управлению инвестиционным портфелем с правом привлечения добровольных пенсионных взносов, при осуществлении ими деятельности по управлению инвестиционным портфелем, сформированным не за счет пенсионных активов;</w:t>
      </w:r>
    </w:p>
    <w:bookmarkEnd w:id="43"/>
    <w:bookmarkStart w:name="z55" w:id="44"/>
    <w:p>
      <w:pPr>
        <w:spacing w:after="0"/>
        <w:ind w:left="0"/>
        <w:jc w:val="both"/>
      </w:pPr>
      <w:r>
        <w:rPr>
          <w:rFonts w:ascii="Times New Roman"/>
          <w:b w:val="false"/>
          <w:i w:val="false"/>
          <w:color w:val="000000"/>
          <w:sz w:val="28"/>
        </w:rPr>
        <w:t>
      страховые организации, осуществляющие деятельность в отрасли "страхование жизни" и самостоятельное управление активами, сформированными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на основании лицензии уполномоченного органа на осуществление деятельности по управлению инвестиционным портфелем на рынке ценных бумаг (далее – страховые организации).</w:t>
      </w:r>
    </w:p>
    <w:bookmarkEnd w:id="44"/>
    <w:bookmarkStart w:name="z56" w:id="45"/>
    <w:p>
      <w:pPr>
        <w:spacing w:after="0"/>
        <w:ind w:left="0"/>
        <w:jc w:val="both"/>
      </w:pPr>
      <w:r>
        <w:rPr>
          <w:rFonts w:ascii="Times New Roman"/>
          <w:b w:val="false"/>
          <w:i w:val="false"/>
          <w:color w:val="000000"/>
          <w:sz w:val="28"/>
        </w:rPr>
        <w:t xml:space="preserve">
      Деятельность управляющего инвестиционным портфелем по управлению активами, сформированными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осуществляется с учетом особенностей, установленных нормативным правовым актом уполномоченного органа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 Закона Республики Казахстан от 18 декабря 2000 года "О страховой деятельности" (далее – Правила участия страхователя в инвестициях).";</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1 изложить в следующей редакции:</w:t>
      </w:r>
    </w:p>
    <w:bookmarkStart w:name="z58" w:id="46"/>
    <w:p>
      <w:pPr>
        <w:spacing w:after="0"/>
        <w:ind w:left="0"/>
        <w:jc w:val="both"/>
      </w:pPr>
      <w:r>
        <w:rPr>
          <w:rFonts w:ascii="Times New Roman"/>
          <w:b w:val="false"/>
          <w:i w:val="false"/>
          <w:color w:val="000000"/>
          <w:sz w:val="28"/>
        </w:rPr>
        <w:t>
      "8) клиент – лицо, пользующееся или намеренное воспользоваться услугами управляющего инвестиционным портфелем, а также инвестиционный фонд и инвестиционный портфель, сформированный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активы которых находятся в управлении у управляющего инвестиционным портфелем;";</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60" w:id="47"/>
    <w:p>
      <w:pPr>
        <w:spacing w:after="0"/>
        <w:ind w:left="0"/>
        <w:jc w:val="both"/>
      </w:pPr>
      <w:r>
        <w:rPr>
          <w:rFonts w:ascii="Times New Roman"/>
          <w:b w:val="false"/>
          <w:i w:val="false"/>
          <w:color w:val="000000"/>
          <w:sz w:val="28"/>
        </w:rPr>
        <w:t>
      "2. Деятельность по управлению инвестиционным портфелем в части, не урегулированной Правилами, осуществляется в соответствии с внутренними документами управляющего инвестиционным портфелем, заключенными между управляющим инвестиционным портфелем и его клиентами договорами по управлению инвестиционным портфелем, договорами страхования, предусматривающими условие участия страхователя в инвестициях, заключенными между страховой организацией и страхователями.";</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63" w:id="48"/>
    <w:p>
      <w:pPr>
        <w:spacing w:after="0"/>
        <w:ind w:left="0"/>
        <w:jc w:val="both"/>
      </w:pPr>
      <w:r>
        <w:rPr>
          <w:rFonts w:ascii="Times New Roman"/>
          <w:b w:val="false"/>
          <w:i w:val="false"/>
          <w:color w:val="000000"/>
          <w:sz w:val="28"/>
        </w:rPr>
        <w:t>
      "3. Передоверие управляющим инвестиционным портфелем деятельности по управлению инвестиционным портфелем другому управляющему инвестиционным портфелем и (или) иностранному управляющему инвестиционным портфелем не допускается, если иное не предусмотрено законодательными актами Республики Казахстан и (или) договором по управлению инвестиционным портфелем.</w:t>
      </w:r>
    </w:p>
    <w:bookmarkEnd w:id="48"/>
    <w:bookmarkStart w:name="z64" w:id="49"/>
    <w:p>
      <w:pPr>
        <w:spacing w:after="0"/>
        <w:ind w:left="0"/>
        <w:jc w:val="both"/>
      </w:pPr>
      <w:r>
        <w:rPr>
          <w:rFonts w:ascii="Times New Roman"/>
          <w:b w:val="false"/>
          <w:i w:val="false"/>
          <w:color w:val="000000"/>
          <w:sz w:val="28"/>
        </w:rPr>
        <w:t xml:space="preserve">
      В случае указания в договоре по управлению инвестиционным портфелем, заключенном управляющим инвестиционным портфелем с клиентом, возможности передоверия осуществления деятельности по управлению портфелем данного клиента другому управляющему инвестиционным портфелем и (или) иностранному управляющему инвестиционным портфелем либо доверительному управляющему при учреждении доверительного управления имуществом в соответствии со </w:t>
      </w:r>
      <w:r>
        <w:rPr>
          <w:rFonts w:ascii="Times New Roman"/>
          <w:b w:val="false"/>
          <w:i w:val="false"/>
          <w:color w:val="000000"/>
          <w:sz w:val="28"/>
        </w:rPr>
        <w:t>статьей 883</w:t>
      </w:r>
      <w:r>
        <w:rPr>
          <w:rFonts w:ascii="Times New Roman"/>
          <w:b w:val="false"/>
          <w:i w:val="false"/>
          <w:color w:val="000000"/>
          <w:sz w:val="28"/>
        </w:rPr>
        <w:t xml:space="preserve"> Гражданского кодекса Республики Казахстан, в договоре по управлению инвестиционным портфелем указывается, что по обязательствам перед клиентом отвечает управляющий инвестиционным портфелем, с которым клиентом был заключен данный договор.";</w:t>
      </w:r>
    </w:p>
    <w:bookmarkEnd w:id="49"/>
    <w:bookmarkStart w:name="z65" w:id="50"/>
    <w:p>
      <w:pPr>
        <w:spacing w:after="0"/>
        <w:ind w:left="0"/>
        <w:jc w:val="both"/>
      </w:pPr>
      <w:r>
        <w:rPr>
          <w:rFonts w:ascii="Times New Roman"/>
          <w:b w:val="false"/>
          <w:i w:val="false"/>
          <w:color w:val="000000"/>
          <w:sz w:val="28"/>
        </w:rPr>
        <w:t>
      дополнить пунктами 6-1 и 6-2 в следующей редакции:</w:t>
      </w:r>
    </w:p>
    <w:bookmarkEnd w:id="50"/>
    <w:bookmarkStart w:name="z66" w:id="51"/>
    <w:p>
      <w:pPr>
        <w:spacing w:after="0"/>
        <w:ind w:left="0"/>
        <w:jc w:val="both"/>
      </w:pPr>
      <w:r>
        <w:rPr>
          <w:rFonts w:ascii="Times New Roman"/>
          <w:b w:val="false"/>
          <w:i w:val="false"/>
          <w:color w:val="000000"/>
          <w:sz w:val="28"/>
        </w:rPr>
        <w:t>
      "6-1. При совмещении управляющим инвестиционным портфелем деятельности по управлению инвестиционным портфелем с брокерской и (или) дилерской деятельностью на рынке ценных бумаг, не допускается одновременное курирование должностным лицом вопросов деятельности по управлению инвестиционным портфелем и брокерской и (или) дилерской деятельности, за исключением первого руководителя.";</w:t>
      </w:r>
    </w:p>
    <w:bookmarkEnd w:id="51"/>
    <w:bookmarkStart w:name="z67" w:id="52"/>
    <w:p>
      <w:pPr>
        <w:spacing w:after="0"/>
        <w:ind w:left="0"/>
        <w:jc w:val="both"/>
      </w:pPr>
      <w:r>
        <w:rPr>
          <w:rFonts w:ascii="Times New Roman"/>
          <w:b w:val="false"/>
          <w:i w:val="false"/>
          <w:color w:val="000000"/>
          <w:sz w:val="28"/>
        </w:rPr>
        <w:t>
      6-2. Пункты 4, 5, 6 и 6-1 Правил не распространяются на страховые организации.";</w:t>
      </w:r>
    </w:p>
    <w:bookmarkEnd w:id="52"/>
    <w:bookmarkStart w:name="z68" w:id="53"/>
    <w:p>
      <w:pPr>
        <w:spacing w:after="0"/>
        <w:ind w:left="0"/>
        <w:jc w:val="both"/>
      </w:pPr>
      <w:r>
        <w:rPr>
          <w:rFonts w:ascii="Times New Roman"/>
          <w:b w:val="false"/>
          <w:i w:val="false"/>
          <w:color w:val="000000"/>
          <w:sz w:val="28"/>
        </w:rPr>
        <w:t>
      дополнить пунктом 7-1 в следующей редакции:</w:t>
      </w:r>
    </w:p>
    <w:bookmarkEnd w:id="53"/>
    <w:bookmarkStart w:name="z69" w:id="54"/>
    <w:p>
      <w:pPr>
        <w:spacing w:after="0"/>
        <w:ind w:left="0"/>
        <w:jc w:val="both"/>
      </w:pPr>
      <w:r>
        <w:rPr>
          <w:rFonts w:ascii="Times New Roman"/>
          <w:b w:val="false"/>
          <w:i w:val="false"/>
          <w:color w:val="000000"/>
          <w:sz w:val="28"/>
        </w:rPr>
        <w:t>
      "7-1. Инвестиционное управление активами, сформированными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осуществляется на основании такого договора страхования.";</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71" w:id="55"/>
    <w:p>
      <w:pPr>
        <w:spacing w:after="0"/>
        <w:ind w:left="0"/>
        <w:jc w:val="both"/>
      </w:pPr>
      <w:r>
        <w:rPr>
          <w:rFonts w:ascii="Times New Roman"/>
          <w:b w:val="false"/>
          <w:i w:val="false"/>
          <w:color w:val="000000"/>
          <w:sz w:val="28"/>
        </w:rPr>
        <w:t>
      "23. Управляющий инвестиционным портфелем, осуществляющий доверительное управление активами паевого инвестиционного фонда (инвестиционного портфеля, сформированного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в течение трех рабочих дней с даты получения уведомления уполномоченного органа о приостановлении действия лицензии или ее лишении направляет кастодиану, осуществляющему учет активов данного фонда (инвестиционного портфеля), информацию о суммах кредиторской и дебиторской задолженностей, в том числе возникших в рамках открытия операций "репо", включая сведения о кредиторах, дебиторах и лицах, участвовавших в операциях "репо".";</w:t>
      </w:r>
    </w:p>
    <w:bookmarkEnd w:id="55"/>
    <w:bookmarkStart w:name="z72" w:id="56"/>
    <w:p>
      <w:pPr>
        <w:spacing w:after="0"/>
        <w:ind w:left="0"/>
        <w:jc w:val="both"/>
      </w:pPr>
      <w:r>
        <w:rPr>
          <w:rFonts w:ascii="Times New Roman"/>
          <w:b w:val="false"/>
          <w:i w:val="false"/>
          <w:color w:val="000000"/>
          <w:sz w:val="28"/>
        </w:rPr>
        <w:t>
      дополнить пунктом 24-1 в следующей редакции:</w:t>
      </w:r>
    </w:p>
    <w:bookmarkEnd w:id="56"/>
    <w:bookmarkStart w:name="z73" w:id="57"/>
    <w:p>
      <w:pPr>
        <w:spacing w:after="0"/>
        <w:ind w:left="0"/>
        <w:jc w:val="both"/>
      </w:pPr>
      <w:r>
        <w:rPr>
          <w:rFonts w:ascii="Times New Roman"/>
          <w:b w:val="false"/>
          <w:i w:val="false"/>
          <w:color w:val="000000"/>
          <w:sz w:val="28"/>
        </w:rPr>
        <w:t>
      "24-1. Пункты 7, 8, 9, 10, 11, 11-1, 12 Правил не распространяются на случаи управления активами, сформированными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75" w:id="58"/>
    <w:p>
      <w:pPr>
        <w:spacing w:after="0"/>
        <w:ind w:left="0"/>
        <w:jc w:val="both"/>
      </w:pPr>
      <w:r>
        <w:rPr>
          <w:rFonts w:ascii="Times New Roman"/>
          <w:b w:val="false"/>
          <w:i w:val="false"/>
          <w:color w:val="000000"/>
          <w:sz w:val="28"/>
        </w:rPr>
        <w:t xml:space="preserve">
      "27. Инвестиционная декларация клиента содержит сведения, предусмотренные </w:t>
      </w:r>
      <w:r>
        <w:rPr>
          <w:rFonts w:ascii="Times New Roman"/>
          <w:b w:val="false"/>
          <w:i w:val="false"/>
          <w:color w:val="000000"/>
          <w:sz w:val="28"/>
        </w:rPr>
        <w:t>пунктом 37</w:t>
      </w:r>
      <w:r>
        <w:rPr>
          <w:rFonts w:ascii="Times New Roman"/>
          <w:b w:val="false"/>
          <w:i w:val="false"/>
          <w:color w:val="000000"/>
          <w:sz w:val="28"/>
        </w:rPr>
        <w:t xml:space="preserve"> Правил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утвержденных постановлением Правления Национального Банка Республики Казахстан от 27 августа 2013 года № 214 (зарегистрированным в Реестре государственной регистрации нормативных правовых актов под № 8796) (далее – Правила формирования системы управления рисками).</w:t>
      </w:r>
    </w:p>
    <w:bookmarkEnd w:id="58"/>
    <w:bookmarkStart w:name="z76" w:id="59"/>
    <w:p>
      <w:pPr>
        <w:spacing w:after="0"/>
        <w:ind w:left="0"/>
        <w:jc w:val="both"/>
      </w:pPr>
      <w:r>
        <w:rPr>
          <w:rFonts w:ascii="Times New Roman"/>
          <w:b w:val="false"/>
          <w:i w:val="false"/>
          <w:color w:val="000000"/>
          <w:sz w:val="28"/>
        </w:rPr>
        <w:t xml:space="preserve">
      Требования к инвестиционной декларации инвестиционных фондов установлены </w:t>
      </w:r>
      <w:r>
        <w:rPr>
          <w:rFonts w:ascii="Times New Roman"/>
          <w:b w:val="false"/>
          <w:i w:val="false"/>
          <w:color w:val="000000"/>
          <w:sz w:val="28"/>
        </w:rPr>
        <w:t>статьей 39</w:t>
      </w:r>
      <w:r>
        <w:rPr>
          <w:rFonts w:ascii="Times New Roman"/>
          <w:b w:val="false"/>
          <w:i w:val="false"/>
          <w:color w:val="000000"/>
          <w:sz w:val="28"/>
        </w:rPr>
        <w:t xml:space="preserve"> Закона об инвестиционных фондах.</w:t>
      </w:r>
    </w:p>
    <w:bookmarkEnd w:id="59"/>
    <w:bookmarkStart w:name="z77" w:id="60"/>
    <w:p>
      <w:pPr>
        <w:spacing w:after="0"/>
        <w:ind w:left="0"/>
        <w:jc w:val="both"/>
      </w:pPr>
      <w:r>
        <w:rPr>
          <w:rFonts w:ascii="Times New Roman"/>
          <w:b w:val="false"/>
          <w:i w:val="false"/>
          <w:color w:val="000000"/>
          <w:sz w:val="28"/>
        </w:rPr>
        <w:t>
      Требования к инвестиционной декларации инвестиционного портфеля, сформированного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определены Правилами участия страхователя в инвестициях.";</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79" w:id="61"/>
    <w:p>
      <w:pPr>
        <w:spacing w:after="0"/>
        <w:ind w:left="0"/>
        <w:jc w:val="both"/>
      </w:pPr>
      <w:r>
        <w:rPr>
          <w:rFonts w:ascii="Times New Roman"/>
          <w:b w:val="false"/>
          <w:i w:val="false"/>
          <w:color w:val="000000"/>
          <w:sz w:val="28"/>
        </w:rPr>
        <w:t>
      "33. Управляющий инвестиционным портфелем не принимает решения по заключению сделок и не осуществляет сделки:</w:t>
      </w:r>
    </w:p>
    <w:bookmarkEnd w:id="61"/>
    <w:bookmarkStart w:name="z80" w:id="62"/>
    <w:p>
      <w:pPr>
        <w:spacing w:after="0"/>
        <w:ind w:left="0"/>
        <w:jc w:val="both"/>
      </w:pPr>
      <w:r>
        <w:rPr>
          <w:rFonts w:ascii="Times New Roman"/>
          <w:b w:val="false"/>
          <w:i w:val="false"/>
          <w:color w:val="000000"/>
          <w:sz w:val="28"/>
        </w:rPr>
        <w:t>
      1) по приобретению за счет активов клиента, переданных в инвестиционное управление, финансовых инструментов и иного имущества, находящегося в собственности управляющего инвестиционным портфелем;</w:t>
      </w:r>
    </w:p>
    <w:bookmarkEnd w:id="62"/>
    <w:bookmarkStart w:name="z81" w:id="63"/>
    <w:p>
      <w:pPr>
        <w:spacing w:after="0"/>
        <w:ind w:left="0"/>
        <w:jc w:val="both"/>
      </w:pPr>
      <w:r>
        <w:rPr>
          <w:rFonts w:ascii="Times New Roman"/>
          <w:b w:val="false"/>
          <w:i w:val="false"/>
          <w:color w:val="000000"/>
          <w:sz w:val="28"/>
        </w:rPr>
        <w:t>
      2) по отчуждению активов клиента в свою собственность;</w:t>
      </w:r>
    </w:p>
    <w:bookmarkEnd w:id="63"/>
    <w:bookmarkStart w:name="z82" w:id="64"/>
    <w:p>
      <w:pPr>
        <w:spacing w:after="0"/>
        <w:ind w:left="0"/>
        <w:jc w:val="both"/>
      </w:pPr>
      <w:r>
        <w:rPr>
          <w:rFonts w:ascii="Times New Roman"/>
          <w:b w:val="false"/>
          <w:i w:val="false"/>
          <w:color w:val="000000"/>
          <w:sz w:val="28"/>
        </w:rPr>
        <w:t>
      3) в которых управляющий инвестиционным портфелем одновременно представляет интересы своего клиента и интересы третьего лица, не являющегося его клиентом, за исключением сделок, заключенных методом открытых торгов на фондовой бирже;</w:t>
      </w:r>
    </w:p>
    <w:bookmarkEnd w:id="64"/>
    <w:bookmarkStart w:name="z83" w:id="65"/>
    <w:p>
      <w:pPr>
        <w:spacing w:after="0"/>
        <w:ind w:left="0"/>
        <w:jc w:val="both"/>
      </w:pPr>
      <w:r>
        <w:rPr>
          <w:rFonts w:ascii="Times New Roman"/>
          <w:b w:val="false"/>
          <w:i w:val="false"/>
          <w:color w:val="000000"/>
          <w:sz w:val="28"/>
        </w:rPr>
        <w:t>
      4) по приобретению за счет активов клиента финансовых инструментов, выпущенных управляющим инвестиционным портфелем и (или) ценных бумаг инвестиционных фондов, находящихся в инвестиционном управлении у данного управляющего инвестиционным портфелем;</w:t>
      </w:r>
    </w:p>
    <w:bookmarkEnd w:id="65"/>
    <w:bookmarkStart w:name="z84" w:id="66"/>
    <w:p>
      <w:pPr>
        <w:spacing w:after="0"/>
        <w:ind w:left="0"/>
        <w:jc w:val="both"/>
      </w:pPr>
      <w:r>
        <w:rPr>
          <w:rFonts w:ascii="Times New Roman"/>
          <w:b w:val="false"/>
          <w:i w:val="false"/>
          <w:color w:val="000000"/>
          <w:sz w:val="28"/>
        </w:rPr>
        <w:t>
      5) по приобретению за счет активов клиента ценных бумаг эмитентов, находящихся в процессе ликвидации;</w:t>
      </w:r>
    </w:p>
    <w:bookmarkEnd w:id="66"/>
    <w:bookmarkStart w:name="z85" w:id="67"/>
    <w:p>
      <w:pPr>
        <w:spacing w:after="0"/>
        <w:ind w:left="0"/>
        <w:jc w:val="both"/>
      </w:pPr>
      <w:r>
        <w:rPr>
          <w:rFonts w:ascii="Times New Roman"/>
          <w:b w:val="false"/>
          <w:i w:val="false"/>
          <w:color w:val="000000"/>
          <w:sz w:val="28"/>
        </w:rPr>
        <w:t>
      6) по приобретению за счет активов клиента ценных бумаг с даты дефолта эмитента (за исключением обмена ценных бумаг и иных обязательств эмитента на ценные бумаги данного эмитента, выпущенные в целях реструктуризации обязательств эмитента), перевода ценных бумаг эмитента в категорию "буферная категория" официального списка фондовой биржи, приостановления фондовой биржей торгов с данными ценными бумагами;</w:t>
      </w:r>
    </w:p>
    <w:bookmarkEnd w:id="67"/>
    <w:bookmarkStart w:name="z86" w:id="68"/>
    <w:p>
      <w:pPr>
        <w:spacing w:after="0"/>
        <w:ind w:left="0"/>
        <w:jc w:val="both"/>
      </w:pPr>
      <w:r>
        <w:rPr>
          <w:rFonts w:ascii="Times New Roman"/>
          <w:b w:val="false"/>
          <w:i w:val="false"/>
          <w:color w:val="000000"/>
          <w:sz w:val="28"/>
        </w:rPr>
        <w:t>
      7) предусматривающие отсрочку или рассрочку платежа более, чем на тридцать календарных дней при совершении сделки в отношении активов клиента, принятых в инвестиционное управление;</w:t>
      </w:r>
    </w:p>
    <w:bookmarkEnd w:id="68"/>
    <w:bookmarkStart w:name="z87" w:id="69"/>
    <w:p>
      <w:pPr>
        <w:spacing w:after="0"/>
        <w:ind w:left="0"/>
        <w:jc w:val="both"/>
      </w:pPr>
      <w:r>
        <w:rPr>
          <w:rFonts w:ascii="Times New Roman"/>
          <w:b w:val="false"/>
          <w:i w:val="false"/>
          <w:color w:val="000000"/>
          <w:sz w:val="28"/>
        </w:rPr>
        <w:t>
      8) предполагающие использование активов клиента, принятых в инвестиционное управление, в обеспечение исполнения своих собственных обязательств или обязательств третьих лиц, не связанных с деятельностью по управлению инвестиционным портфелем данного клиента;</w:t>
      </w:r>
    </w:p>
    <w:bookmarkEnd w:id="69"/>
    <w:bookmarkStart w:name="z88" w:id="70"/>
    <w:p>
      <w:pPr>
        <w:spacing w:after="0"/>
        <w:ind w:left="0"/>
        <w:jc w:val="both"/>
      </w:pPr>
      <w:r>
        <w:rPr>
          <w:rFonts w:ascii="Times New Roman"/>
          <w:b w:val="false"/>
          <w:i w:val="false"/>
          <w:color w:val="000000"/>
          <w:sz w:val="28"/>
        </w:rPr>
        <w:t>
      9) по безвозмездному отчуждению активов клиента;</w:t>
      </w:r>
    </w:p>
    <w:bookmarkEnd w:id="70"/>
    <w:bookmarkStart w:name="z89" w:id="71"/>
    <w:p>
      <w:pPr>
        <w:spacing w:after="0"/>
        <w:ind w:left="0"/>
        <w:jc w:val="both"/>
      </w:pPr>
      <w:r>
        <w:rPr>
          <w:rFonts w:ascii="Times New Roman"/>
          <w:b w:val="false"/>
          <w:i w:val="false"/>
          <w:color w:val="000000"/>
          <w:sz w:val="28"/>
        </w:rPr>
        <w:t>
      10) по заключению за счет активов клиента договоров о продаже финансовых инструментов, не принадлежащих клиенту ("короткие продажи");</w:t>
      </w:r>
    </w:p>
    <w:bookmarkEnd w:id="71"/>
    <w:bookmarkStart w:name="z90" w:id="72"/>
    <w:p>
      <w:pPr>
        <w:spacing w:after="0"/>
        <w:ind w:left="0"/>
        <w:jc w:val="both"/>
      </w:pPr>
      <w:r>
        <w:rPr>
          <w:rFonts w:ascii="Times New Roman"/>
          <w:b w:val="false"/>
          <w:i w:val="false"/>
          <w:color w:val="000000"/>
          <w:sz w:val="28"/>
        </w:rPr>
        <w:t>
      11) по приобретению в состав активов клиента, не являющегося инвестиционным фондом, активов инвестиционных фондов, находящихся в инвестиционном управлении у данного управляющего инвестиционным портфелем, за исключением сделок, заключенных в торговой системе фондовой биржи методами открытых торгов;</w:t>
      </w:r>
    </w:p>
    <w:bookmarkEnd w:id="72"/>
    <w:bookmarkStart w:name="z91" w:id="73"/>
    <w:p>
      <w:pPr>
        <w:spacing w:after="0"/>
        <w:ind w:left="0"/>
        <w:jc w:val="both"/>
      </w:pPr>
      <w:r>
        <w:rPr>
          <w:rFonts w:ascii="Times New Roman"/>
          <w:b w:val="false"/>
          <w:i w:val="false"/>
          <w:color w:val="000000"/>
          <w:sz w:val="28"/>
        </w:rPr>
        <w:t>
      12) в результате которых будут нарушены требования, установленные финансовым законодательством Республики Казахстан и (или) инвестиционной декларацией клиента.</w:t>
      </w:r>
    </w:p>
    <w:bookmarkEnd w:id="73"/>
    <w:bookmarkStart w:name="z92" w:id="74"/>
    <w:p>
      <w:pPr>
        <w:spacing w:after="0"/>
        <w:ind w:left="0"/>
        <w:jc w:val="both"/>
      </w:pPr>
      <w:r>
        <w:rPr>
          <w:rFonts w:ascii="Times New Roman"/>
          <w:b w:val="false"/>
          <w:i w:val="false"/>
          <w:color w:val="000000"/>
          <w:sz w:val="28"/>
        </w:rPr>
        <w:t>
      Действие подпункта 4) настоящего пункта не распространяется на случаи приобретения паев паевого инвестиционного фонда, не являющегося закрытым паевым инвестиционным фондом, в инвестиционный портфель, сформированный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w:t>
      </w:r>
    </w:p>
    <w:bookmarkEnd w:id="74"/>
    <w:bookmarkStart w:name="z93" w:id="75"/>
    <w:p>
      <w:pPr>
        <w:spacing w:after="0"/>
        <w:ind w:left="0"/>
        <w:jc w:val="both"/>
      </w:pPr>
      <w:r>
        <w:rPr>
          <w:rFonts w:ascii="Times New Roman"/>
          <w:b w:val="false"/>
          <w:i w:val="false"/>
          <w:color w:val="000000"/>
          <w:sz w:val="28"/>
        </w:rPr>
        <w:t>
      Совокупный объем инвестиций активов инвестиционных фондов, активов инвестиционных портфелей, сформированных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находящихся в управлении у одного управляющего инвестиционным портфелем (страховой организации), и собственных активов управляющего инвестиционным портфелем (страховой организации) в голосующие акции лицензиатов финансового рынка должен быть меньше размера, требующего получения согласия уполномоченного органа на их приобретение.";</w:t>
      </w:r>
    </w:p>
    <w:bookmarkEnd w:id="75"/>
    <w:bookmarkStart w:name="z94" w:id="76"/>
    <w:p>
      <w:pPr>
        <w:spacing w:after="0"/>
        <w:ind w:left="0"/>
        <w:jc w:val="both"/>
      </w:pPr>
      <w:r>
        <w:rPr>
          <w:rFonts w:ascii="Times New Roman"/>
          <w:b w:val="false"/>
          <w:i w:val="false"/>
          <w:color w:val="000000"/>
          <w:sz w:val="28"/>
        </w:rPr>
        <w:t>
      дополнить пунктами 37-2 и 37-3 в следующей редакции:</w:t>
      </w:r>
    </w:p>
    <w:bookmarkEnd w:id="76"/>
    <w:bookmarkStart w:name="z95" w:id="77"/>
    <w:p>
      <w:pPr>
        <w:spacing w:after="0"/>
        <w:ind w:left="0"/>
        <w:jc w:val="both"/>
      </w:pPr>
      <w:r>
        <w:rPr>
          <w:rFonts w:ascii="Times New Roman"/>
          <w:b w:val="false"/>
          <w:i w:val="false"/>
          <w:color w:val="000000"/>
          <w:sz w:val="28"/>
        </w:rPr>
        <w:t>
      "37-2. Часть первая пункта 27 и пункт 29 Правил не распространяются на случаи управления активами, сформированными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w:t>
      </w:r>
    </w:p>
    <w:bookmarkEnd w:id="77"/>
    <w:bookmarkStart w:name="z96" w:id="78"/>
    <w:p>
      <w:pPr>
        <w:spacing w:after="0"/>
        <w:ind w:left="0"/>
        <w:jc w:val="both"/>
      </w:pPr>
      <w:r>
        <w:rPr>
          <w:rFonts w:ascii="Times New Roman"/>
          <w:b w:val="false"/>
          <w:i w:val="false"/>
          <w:color w:val="000000"/>
          <w:sz w:val="28"/>
        </w:rPr>
        <w:t>
      Пункт 32 Правил не распространяется на страховые организации.</w:t>
      </w:r>
    </w:p>
    <w:bookmarkEnd w:id="78"/>
    <w:bookmarkStart w:name="z97" w:id="79"/>
    <w:p>
      <w:pPr>
        <w:spacing w:after="0"/>
        <w:ind w:left="0"/>
        <w:jc w:val="both"/>
      </w:pPr>
      <w:r>
        <w:rPr>
          <w:rFonts w:ascii="Times New Roman"/>
          <w:b w:val="false"/>
          <w:i w:val="false"/>
          <w:color w:val="000000"/>
          <w:sz w:val="28"/>
        </w:rPr>
        <w:t>
      37-3. Требования настоящей главы Правил не распространяются в отношении собственных активов управляющего инвестиционным портфелем, являющегося страховой организацией.";</w:t>
      </w:r>
    </w:p>
    <w:bookmarkEnd w:id="79"/>
    <w:bookmarkStart w:name="z98" w:id="8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38</w:t>
      </w:r>
      <w:r>
        <w:rPr>
          <w:rFonts w:ascii="Times New Roman"/>
          <w:b w:val="false"/>
          <w:i w:val="false"/>
          <w:color w:val="000000"/>
          <w:sz w:val="28"/>
        </w:rPr>
        <w:t xml:space="preserve"> изложить в следующей редакции:</w:t>
      </w:r>
    </w:p>
    <w:bookmarkEnd w:id="80"/>
    <w:bookmarkStart w:name="z99" w:id="81"/>
    <w:p>
      <w:pPr>
        <w:spacing w:after="0"/>
        <w:ind w:left="0"/>
        <w:jc w:val="both"/>
      </w:pPr>
      <w:r>
        <w:rPr>
          <w:rFonts w:ascii="Times New Roman"/>
          <w:b w:val="false"/>
          <w:i w:val="false"/>
          <w:color w:val="000000"/>
          <w:sz w:val="28"/>
        </w:rPr>
        <w:t>
      "38. Учет и хранение активов, составляющих инвестиционный портфель, сформированный за счет собственных активов добровольных накопительных пенсионных фондов, страховых организаций,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а также учет и хранение активов инвестиционных фондов и активов специальной финансовой компании осуществляется кастодианом на основании кастодиального договора, заключенного между кастодианом и управляющим инвестиционным портфелем.";</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101" w:id="82"/>
    <w:p>
      <w:pPr>
        <w:spacing w:after="0"/>
        <w:ind w:left="0"/>
        <w:jc w:val="both"/>
      </w:pPr>
      <w:r>
        <w:rPr>
          <w:rFonts w:ascii="Times New Roman"/>
          <w:b w:val="false"/>
          <w:i w:val="false"/>
          <w:color w:val="000000"/>
          <w:sz w:val="28"/>
        </w:rPr>
        <w:t>
      "42. Учет и хранение иностранных финансовых инструментов клиентов, за исключением активов, составляющих инвестиционный портфель, сформированный за счет собственных активов добровольных накопительных пенсионных фондов, страховых организаций,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а также активов инвестиционных фондов и активов специальной финансовой компании, может осуществляться иностранной расчетной организацией.";</w:t>
      </w:r>
    </w:p>
    <w:bookmarkEnd w:id="82"/>
    <w:bookmarkStart w:name="z102" w:id="83"/>
    <w:p>
      <w:pPr>
        <w:spacing w:after="0"/>
        <w:ind w:left="0"/>
        <w:jc w:val="both"/>
      </w:pPr>
      <w:r>
        <w:rPr>
          <w:rFonts w:ascii="Times New Roman"/>
          <w:b w:val="false"/>
          <w:i w:val="false"/>
          <w:color w:val="000000"/>
          <w:sz w:val="28"/>
        </w:rPr>
        <w:t>
      дополнить пунктом 47-1 в следующей редакции:</w:t>
      </w:r>
    </w:p>
    <w:bookmarkEnd w:id="83"/>
    <w:bookmarkStart w:name="z103" w:id="84"/>
    <w:p>
      <w:pPr>
        <w:spacing w:after="0"/>
        <w:ind w:left="0"/>
        <w:jc w:val="both"/>
      </w:pPr>
      <w:r>
        <w:rPr>
          <w:rFonts w:ascii="Times New Roman"/>
          <w:b w:val="false"/>
          <w:i w:val="false"/>
          <w:color w:val="000000"/>
          <w:sz w:val="28"/>
        </w:rPr>
        <w:t>
      "47-1. Особенности учета активов, сформированных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установлены Правилами участия страхователя в инвестициях.";</w:t>
      </w:r>
    </w:p>
    <w:bookmarkEnd w:id="84"/>
    <w:bookmarkStart w:name="z104" w:id="85"/>
    <w:p>
      <w:pPr>
        <w:spacing w:after="0"/>
        <w:ind w:left="0"/>
        <w:jc w:val="both"/>
      </w:pPr>
      <w:r>
        <w:rPr>
          <w:rFonts w:ascii="Times New Roman"/>
          <w:b w:val="false"/>
          <w:i w:val="false"/>
          <w:color w:val="000000"/>
          <w:sz w:val="28"/>
        </w:rPr>
        <w:t>
      дополнить пунктом 53-1 в следующей редакции:</w:t>
      </w:r>
    </w:p>
    <w:bookmarkEnd w:id="85"/>
    <w:bookmarkStart w:name="z105" w:id="86"/>
    <w:p>
      <w:pPr>
        <w:spacing w:after="0"/>
        <w:ind w:left="0"/>
        <w:jc w:val="both"/>
      </w:pPr>
      <w:r>
        <w:rPr>
          <w:rFonts w:ascii="Times New Roman"/>
          <w:b w:val="false"/>
          <w:i w:val="false"/>
          <w:color w:val="000000"/>
          <w:sz w:val="28"/>
        </w:rPr>
        <w:t>
      "53-1. Настоящая глава Правил не распространяется на страховые организации.";</w:t>
      </w:r>
    </w:p>
    <w:bookmarkEnd w:id="86"/>
    <w:bookmarkStart w:name="z106" w:id="87"/>
    <w:p>
      <w:pPr>
        <w:spacing w:after="0"/>
        <w:ind w:left="0"/>
        <w:jc w:val="both"/>
      </w:pPr>
      <w:r>
        <w:rPr>
          <w:rFonts w:ascii="Times New Roman"/>
          <w:b w:val="false"/>
          <w:i w:val="false"/>
          <w:color w:val="000000"/>
          <w:sz w:val="28"/>
        </w:rPr>
        <w:t>
      дополнить пунктом 55-1 в следующей редакции:</w:t>
      </w:r>
    </w:p>
    <w:bookmarkEnd w:id="87"/>
    <w:bookmarkStart w:name="z107" w:id="88"/>
    <w:p>
      <w:pPr>
        <w:spacing w:after="0"/>
        <w:ind w:left="0"/>
        <w:jc w:val="both"/>
      </w:pPr>
      <w:r>
        <w:rPr>
          <w:rFonts w:ascii="Times New Roman"/>
          <w:b w:val="false"/>
          <w:i w:val="false"/>
          <w:color w:val="000000"/>
          <w:sz w:val="28"/>
        </w:rPr>
        <w:t>
      "55-1. Настоящая глава Правил не распространяется на страховые организации.".</w:t>
      </w:r>
    </w:p>
    <w:bookmarkEnd w:id="88"/>
    <w:bookmarkStart w:name="z108" w:id="89"/>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(зарегистрировано в Реестре государственной регистрации нормативных правовых актов под № 14794, опубликовано 24 февраля 2017 года в Эталонном контрольном банке нормативных правовых актов Республики Казахстан) следующие изменение и дополнение:</w:t>
      </w:r>
    </w:p>
    <w:bookmarkEnd w:id="89"/>
    <w:bookmarkStart w:name="z109"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Нормативных значениях</w:t>
      </w:r>
      <w:r>
        <w:rPr>
          <w:rFonts w:ascii="Times New Roman"/>
          <w:b w:val="false"/>
          <w:i w:val="false"/>
          <w:color w:val="000000"/>
          <w:sz w:val="28"/>
        </w:rPr>
        <w:t xml:space="preserve"> и методиках расчетов пруденциальных нормативов страховой (перестраховочной) организации и страховой группы и иных обязательных к соблюдению норм и лимитов, утвержденных указанным постановлением:</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11" w:id="91"/>
    <w:p>
      <w:pPr>
        <w:spacing w:after="0"/>
        <w:ind w:left="0"/>
        <w:jc w:val="both"/>
      </w:pPr>
      <w:r>
        <w:rPr>
          <w:rFonts w:ascii="Times New Roman"/>
          <w:b w:val="false"/>
          <w:i w:val="false"/>
          <w:color w:val="000000"/>
          <w:sz w:val="28"/>
        </w:rPr>
        <w:t xml:space="preserve">
      "9. Минимальный размер маржи платежеспособности страховой (перестраховочной) организации увеличивается на сумму обязательств, передаваемых (переданных) в перестрахование страховым (перестраховочным) организациям - резидентам и нерезидентам Республики Казахстан по действующим договорам перестрахования, в зависимости от рейтинговой оценки перестраховщика или значения норматива достаточности маржи платежеспособности перестраховочной организации-резидента Республики Казахстан на предыдущую отчетную дату, в соответствии с суммой увеличения минимального размера маржи платежеспособности, рассчитанной по Таблице увеличения минимального размера маржи платежеспособности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Нормативам.</w:t>
      </w:r>
    </w:p>
    <w:bookmarkEnd w:id="91"/>
    <w:bookmarkStart w:name="z112" w:id="92"/>
    <w:p>
      <w:pPr>
        <w:spacing w:after="0"/>
        <w:ind w:left="0"/>
        <w:jc w:val="both"/>
      </w:pPr>
      <w:r>
        <w:rPr>
          <w:rFonts w:ascii="Times New Roman"/>
          <w:b w:val="false"/>
          <w:i w:val="false"/>
          <w:color w:val="000000"/>
          <w:sz w:val="28"/>
        </w:rPr>
        <w:t>
      Минимальный размер маржи платежеспособности страховой (перестраховочной) организации увеличивается на значение, равное 1 (одному) проценту от текущей стоимости активов, созданных (сформированных)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w:t>
      </w:r>
    </w:p>
    <w:bookmarkEnd w:id="92"/>
    <w:bookmarkStart w:name="z113" w:id="93"/>
    <w:p>
      <w:pPr>
        <w:spacing w:after="0"/>
        <w:ind w:left="0"/>
        <w:jc w:val="both"/>
      </w:pPr>
      <w:r>
        <w:rPr>
          <w:rFonts w:ascii="Times New Roman"/>
          <w:b w:val="false"/>
          <w:i w:val="false"/>
          <w:color w:val="000000"/>
          <w:sz w:val="28"/>
        </w:rPr>
        <w:t>
      дополнить пунктом 26-1 в следующей редакции:</w:t>
      </w:r>
    </w:p>
    <w:bookmarkEnd w:id="93"/>
    <w:bookmarkStart w:name="z114" w:id="94"/>
    <w:p>
      <w:pPr>
        <w:spacing w:after="0"/>
        <w:ind w:left="0"/>
        <w:jc w:val="both"/>
      </w:pPr>
      <w:r>
        <w:rPr>
          <w:rFonts w:ascii="Times New Roman"/>
          <w:b w:val="false"/>
          <w:i w:val="false"/>
          <w:color w:val="000000"/>
          <w:sz w:val="28"/>
        </w:rPr>
        <w:t>
      "26-1. Минимальный размер гарантийного фонда для страховой (перестраховочной) организации, имеющей лицензию по отрасли "страхование жизни" и разработанные виды страхования, предусматривающие осуществление страховой выплаты в случае участия страхователя в инвестициях, увеличивается на:</w:t>
      </w:r>
    </w:p>
    <w:bookmarkEnd w:id="94"/>
    <w:bookmarkStart w:name="z115" w:id="95"/>
    <w:p>
      <w:pPr>
        <w:spacing w:after="0"/>
        <w:ind w:left="0"/>
        <w:jc w:val="both"/>
      </w:pPr>
      <w:r>
        <w:rPr>
          <w:rFonts w:ascii="Times New Roman"/>
          <w:b w:val="false"/>
          <w:i w:val="false"/>
          <w:color w:val="000000"/>
          <w:sz w:val="28"/>
        </w:rPr>
        <w:t>
      200 000 (двести тысяч) месячных расчетных показателей – при самостоятельном управлении активами, сформированными за счет части страховых премий,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w:t>
      </w:r>
    </w:p>
    <w:bookmarkEnd w:id="95"/>
    <w:bookmarkStart w:name="z116" w:id="96"/>
    <w:p>
      <w:pPr>
        <w:spacing w:after="0"/>
        <w:ind w:left="0"/>
        <w:jc w:val="both"/>
      </w:pPr>
      <w:r>
        <w:rPr>
          <w:rFonts w:ascii="Times New Roman"/>
          <w:b w:val="false"/>
          <w:i w:val="false"/>
          <w:color w:val="000000"/>
          <w:sz w:val="28"/>
        </w:rPr>
        <w:t>
      100 000 (сто тысяч) месячных расчетных показателей – при передаче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в инвестиционное управление управляющему инвестиционным портфелем, не являющемуся страховой организацией.".</w:t>
      </w:r>
    </w:p>
    <w:bookmarkEnd w:id="96"/>
    <w:bookmarkStart w:name="z117" w:id="97"/>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79 "Об установлении видов пруденциальных нормативов, а также показателей, характеризующих соблюдение их значений для организаций, осуществляющих управление инвестиционным портфелем, утверждении Правил расчета значений пруденциальных нормативов, подлежащих соблюдению организациями, осуществляющими управление инвестиционным портфелем" (зарегистрировано в Реестре государственной регистрации нормативных правовых актов под № 17008, опубликовано 12 июня 2018 года в Эталонном контрольном банке нормативных правовых актов Республики Казахстан) следующее изменение:</w:t>
      </w:r>
    </w:p>
    <w:bookmarkEnd w:id="97"/>
    <w:bookmarkStart w:name="z118"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значений пруденциальных нормативов, подлежащих соблюдению организациями, осуществляющими управление инвестиционным портфелем, утвержденных указанным постановлением:</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0" w:id="99"/>
    <w:p>
      <w:pPr>
        <w:spacing w:after="0"/>
        <w:ind w:left="0"/>
        <w:jc w:val="both"/>
      </w:pPr>
      <w:r>
        <w:rPr>
          <w:rFonts w:ascii="Times New Roman"/>
          <w:b w:val="false"/>
          <w:i w:val="false"/>
          <w:color w:val="000000"/>
          <w:sz w:val="28"/>
        </w:rPr>
        <w:t>
      "2. Правила не распространяются на управляющих инвестиционным портфелем с правом привлечения добровольных пенсионных взносов и страховые организации, осуществляющие деятельность в отрасли "страхование жизни", имеющие лицензию на осуществление деятельности по управлению инвестиционным портфелем на рынке ценных бумаг.";</w:t>
      </w:r>
    </w:p>
    <w:bookmarkEnd w:id="99"/>
    <w:bookmarkStart w:name="z121" w:id="100"/>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2018 года № 198 "Об утверждении Правил формирования системы управления рисками и внутреннего контроля для страховых (перестраховочных) организаций" (зарегистрировано в Реестре государственной регистрации нормативных правовых актов под № 17462, опубликовано 9 октября 2018 года в Эталонном контрольном банке нормативных правовых актов Республики Казахстан) следующие изменения и дополнение:</w:t>
      </w:r>
    </w:p>
    <w:bookmarkEnd w:id="100"/>
    <w:bookmarkStart w:name="z122"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системы управления рисками и внутреннего контроля для страховых (перестраховочных) организаций, утвержденных указанным постановлением:</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дополнить подпунктом 1-1) в следующей редакции:</w:t>
      </w:r>
    </w:p>
    <w:bookmarkStart w:name="z124" w:id="102"/>
    <w:p>
      <w:pPr>
        <w:spacing w:after="0"/>
        <w:ind w:left="0"/>
        <w:jc w:val="both"/>
      </w:pPr>
      <w:r>
        <w:rPr>
          <w:rFonts w:ascii="Times New Roman"/>
          <w:b w:val="false"/>
          <w:i w:val="false"/>
          <w:color w:val="000000"/>
          <w:sz w:val="28"/>
        </w:rPr>
        <w:t>
      "1-1) для организации, обладающей лицензией на осуществление деятельности по управлению инвестиционным портфелем на рынке ценных бумаг – наличие в составе организационной структуры организации подразделения, осуществляющего функции по управлению инвестиционным портфелем, включая, но не ограничиваясь следующими функциями по:</w:t>
      </w:r>
    </w:p>
    <w:bookmarkEnd w:id="102"/>
    <w:bookmarkStart w:name="z125" w:id="103"/>
    <w:p>
      <w:pPr>
        <w:spacing w:after="0"/>
        <w:ind w:left="0"/>
        <w:jc w:val="both"/>
      </w:pPr>
      <w:r>
        <w:rPr>
          <w:rFonts w:ascii="Times New Roman"/>
          <w:b w:val="false"/>
          <w:i w:val="false"/>
          <w:color w:val="000000"/>
          <w:sz w:val="28"/>
        </w:rPr>
        <w:t>
      сбору, обработке и анализу информации, необходимой для подготовки рекомендаций, составляемых при разработке инвестиционной декларации, определении и пересмотре лимитов инвестирования активов страхователей, принятии решений о совершении сделок за счет активов страхователей (далее – рекомендации);</w:t>
      </w:r>
    </w:p>
    <w:bookmarkEnd w:id="103"/>
    <w:bookmarkStart w:name="z126" w:id="104"/>
    <w:p>
      <w:pPr>
        <w:spacing w:after="0"/>
        <w:ind w:left="0"/>
        <w:jc w:val="both"/>
      </w:pPr>
      <w:r>
        <w:rPr>
          <w:rFonts w:ascii="Times New Roman"/>
          <w:b w:val="false"/>
          <w:i w:val="false"/>
          <w:color w:val="000000"/>
          <w:sz w:val="28"/>
        </w:rPr>
        <w:t>
      составлению рекомендаций;</w:t>
      </w:r>
    </w:p>
    <w:bookmarkEnd w:id="104"/>
    <w:bookmarkStart w:name="z127" w:id="105"/>
    <w:p>
      <w:pPr>
        <w:spacing w:after="0"/>
        <w:ind w:left="0"/>
        <w:jc w:val="both"/>
      </w:pPr>
      <w:r>
        <w:rPr>
          <w:rFonts w:ascii="Times New Roman"/>
          <w:b w:val="false"/>
          <w:i w:val="false"/>
          <w:color w:val="000000"/>
          <w:sz w:val="28"/>
        </w:rPr>
        <w:t>
      оформлению принятых инвестиционных решений и протоколов по итогам заседаний инвестиционного комитета организации;</w:t>
      </w:r>
    </w:p>
    <w:bookmarkEnd w:id="105"/>
    <w:bookmarkStart w:name="z128" w:id="106"/>
    <w:p>
      <w:pPr>
        <w:spacing w:after="0"/>
        <w:ind w:left="0"/>
        <w:jc w:val="both"/>
      </w:pPr>
      <w:r>
        <w:rPr>
          <w:rFonts w:ascii="Times New Roman"/>
          <w:b w:val="false"/>
          <w:i w:val="false"/>
          <w:color w:val="000000"/>
          <w:sz w:val="28"/>
        </w:rPr>
        <w:t>
      учету финансовых инструментов, приобретенных за счет активов страхователей;</w:t>
      </w:r>
    </w:p>
    <w:bookmarkEnd w:id="106"/>
    <w:bookmarkStart w:name="z129" w:id="107"/>
    <w:p>
      <w:pPr>
        <w:spacing w:after="0"/>
        <w:ind w:left="0"/>
        <w:jc w:val="both"/>
      </w:pPr>
      <w:r>
        <w:rPr>
          <w:rFonts w:ascii="Times New Roman"/>
          <w:b w:val="false"/>
          <w:i w:val="false"/>
          <w:color w:val="000000"/>
          <w:sz w:val="28"/>
        </w:rPr>
        <w:t>
      подготовке отчетов страхователям о результатах деятельности по управлению инвестиционным портфелем в порядке, предусмотренном договором страхования, предусматривающим условие участия страхователя в инвестициях;</w:t>
      </w:r>
    </w:p>
    <w:bookmarkEnd w:id="107"/>
    <w:bookmarkStart w:name="z130" w:id="108"/>
    <w:p>
      <w:pPr>
        <w:spacing w:after="0"/>
        <w:ind w:left="0"/>
        <w:jc w:val="both"/>
      </w:pPr>
      <w:r>
        <w:rPr>
          <w:rFonts w:ascii="Times New Roman"/>
          <w:b w:val="false"/>
          <w:i w:val="false"/>
          <w:color w:val="000000"/>
          <w:sz w:val="28"/>
        </w:rPr>
        <w:t>
      взаимодействию с другими финансовыми организациями в процессе осуществления управления активами страхователей;</w:t>
      </w:r>
    </w:p>
    <w:bookmarkEnd w:id="108"/>
    <w:bookmarkStart w:name="z131" w:id="109"/>
    <w:p>
      <w:pPr>
        <w:spacing w:after="0"/>
        <w:ind w:left="0"/>
        <w:jc w:val="both"/>
      </w:pPr>
      <w:r>
        <w:rPr>
          <w:rFonts w:ascii="Times New Roman"/>
          <w:b w:val="false"/>
          <w:i w:val="false"/>
          <w:color w:val="000000"/>
          <w:sz w:val="28"/>
        </w:rPr>
        <w:t>
      функции, определенные внутренними документами организации;";</w:t>
      </w:r>
    </w:p>
    <w:bookmarkEnd w:id="109"/>
    <w:bookmarkStart w:name="z132" w:id="110"/>
    <w:p>
      <w:pPr>
        <w:spacing w:after="0"/>
        <w:ind w:left="0"/>
        <w:jc w:val="both"/>
      </w:pPr>
      <w:r>
        <w:rPr>
          <w:rFonts w:ascii="Times New Roman"/>
          <w:b w:val="false"/>
          <w:i w:val="false"/>
          <w:color w:val="000000"/>
          <w:sz w:val="28"/>
        </w:rPr>
        <w:t xml:space="preserve">
      в Требованиях к управлению инвестиционными рисками согласно </w:t>
      </w:r>
      <w:r>
        <w:rPr>
          <w:rFonts w:ascii="Times New Roman"/>
          <w:b w:val="false"/>
          <w:i w:val="false"/>
          <w:color w:val="000000"/>
          <w:sz w:val="28"/>
        </w:rPr>
        <w:t>приложению 9</w:t>
      </w:r>
      <w:r>
        <w:rPr>
          <w:rFonts w:ascii="Times New Roman"/>
          <w:b w:val="false"/>
          <w:i w:val="false"/>
          <w:color w:val="000000"/>
          <w:sz w:val="28"/>
        </w:rPr>
        <w:t xml:space="preserve"> к указанным Правилам:</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4" w:id="111"/>
    <w:p>
      <w:pPr>
        <w:spacing w:after="0"/>
        <w:ind w:left="0"/>
        <w:jc w:val="both"/>
      </w:pPr>
      <w:r>
        <w:rPr>
          <w:rFonts w:ascii="Times New Roman"/>
          <w:b w:val="false"/>
          <w:i w:val="false"/>
          <w:color w:val="000000"/>
          <w:sz w:val="28"/>
        </w:rPr>
        <w:t>
      "1. Совет директоров в целях эффективного управления инвестиционными рисками:</w:t>
      </w:r>
    </w:p>
    <w:bookmarkEnd w:id="111"/>
    <w:bookmarkStart w:name="z135" w:id="112"/>
    <w:p>
      <w:pPr>
        <w:spacing w:after="0"/>
        <w:ind w:left="0"/>
        <w:jc w:val="both"/>
      </w:pPr>
      <w:r>
        <w:rPr>
          <w:rFonts w:ascii="Times New Roman"/>
          <w:b w:val="false"/>
          <w:i w:val="false"/>
          <w:color w:val="000000"/>
          <w:sz w:val="28"/>
        </w:rPr>
        <w:t>
      1) утверждает инвестиционную политику;</w:t>
      </w:r>
    </w:p>
    <w:bookmarkEnd w:id="112"/>
    <w:bookmarkStart w:name="z136" w:id="113"/>
    <w:p>
      <w:pPr>
        <w:spacing w:after="0"/>
        <w:ind w:left="0"/>
        <w:jc w:val="both"/>
      </w:pPr>
      <w:r>
        <w:rPr>
          <w:rFonts w:ascii="Times New Roman"/>
          <w:b w:val="false"/>
          <w:i w:val="false"/>
          <w:color w:val="000000"/>
          <w:sz w:val="28"/>
        </w:rPr>
        <w:t>
      2) принимает решение о самостоятельном размещении активов, покрывающих страховые резервы, либо о передаче активов частично либо полностью в управление организации, осуществляющей деятельность по управлению инвестиционным портфелем (далее - управляющему инвестиционным портфелем);</w:t>
      </w:r>
    </w:p>
    <w:bookmarkEnd w:id="113"/>
    <w:bookmarkStart w:name="z137" w:id="114"/>
    <w:p>
      <w:pPr>
        <w:spacing w:after="0"/>
        <w:ind w:left="0"/>
        <w:jc w:val="both"/>
      </w:pPr>
      <w:r>
        <w:rPr>
          <w:rFonts w:ascii="Times New Roman"/>
          <w:b w:val="false"/>
          <w:i w:val="false"/>
          <w:color w:val="000000"/>
          <w:sz w:val="28"/>
        </w:rPr>
        <w:t>
      3) утверждает правила паевого инвестиционного фонда, инвестиционную декларацию и методику определения текущей стоимости активов инвестиционного портфеля, созданного (сформированного)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w:t>
      </w:r>
    </w:p>
    <w:bookmarkEnd w:id="114"/>
    <w:bookmarkStart w:name="z138" w:id="115"/>
    <w:p>
      <w:pPr>
        <w:spacing w:after="0"/>
        <w:ind w:left="0"/>
        <w:jc w:val="both"/>
      </w:pPr>
      <w:r>
        <w:rPr>
          <w:rFonts w:ascii="Times New Roman"/>
          <w:b w:val="false"/>
          <w:i w:val="false"/>
          <w:color w:val="000000"/>
          <w:sz w:val="28"/>
        </w:rPr>
        <w:t>
      4) согласовывает правила паевого инвестиционного фонда, инвестиционную декларацию и методику определения текущей стоимости активов инвестиционного портфеля, созданного (сформированного) управляющим инвестиционным портфелем по договоренности с организацией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w:t>
      </w:r>
    </w:p>
    <w:bookmarkEnd w:id="115"/>
    <w:bookmarkStart w:name="z139" w:id="116"/>
    <w:p>
      <w:pPr>
        <w:spacing w:after="0"/>
        <w:ind w:left="0"/>
        <w:jc w:val="both"/>
      </w:pPr>
      <w:r>
        <w:rPr>
          <w:rFonts w:ascii="Times New Roman"/>
          <w:b w:val="false"/>
          <w:i w:val="false"/>
          <w:color w:val="000000"/>
          <w:sz w:val="28"/>
        </w:rPr>
        <w:t>
      5) создает инвестиционный комитет в течение 10 (десяти) рабочих дней в случае получения организацией лицензии на осуществление деятельности по управлению инвестиционным портфелем на рынке ценных бумаг.";</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41" w:id="117"/>
    <w:p>
      <w:pPr>
        <w:spacing w:after="0"/>
        <w:ind w:left="0"/>
        <w:jc w:val="both"/>
      </w:pPr>
      <w:r>
        <w:rPr>
          <w:rFonts w:ascii="Times New Roman"/>
          <w:b w:val="false"/>
          <w:i w:val="false"/>
          <w:color w:val="000000"/>
          <w:sz w:val="28"/>
        </w:rPr>
        <w:t>
      "15. При нарушении управляющим инвестиционным портфелем требований правил паевого инвестиционного фонда, инвестиционной декларации инвестиционного портфеля, созданного (сформированного) управляющим инвестиционным портфелем по договоренности с организацией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подразделение организации, ответственное за управление рисками, обязано уведомлять уполномоченный орган о наличии такого нарушения в течение 3 (трех) рабочих дней с даты нарушения.".</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