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9f48" w14:textId="8a99f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18 мая 2020 года № 69. Зарегистрировано в Министерстве юстиции Республики Казахстан 25 мая 2020 года № 20715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от 19 марта 2010 года 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валютном контроле" и от 25 ноября 2019 года "О внесении изменений и дополнений в некоторые законодательные акты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по вопросам оказания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4 апреля 2019 года № 49 "Об утверждении Правил осуществления обменных операций с наличной иностранной валютой в Республике Казахстан" (зарегистрировано в Реестре государственной регистрации нормативных правовых актов под № 18545, опубликовано 24 апреля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обменных операций с наличной иностранной валютой в Республике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осуществления обменных операций с наличной иностранной валютой в Республике Казахстан (далее – Правила) разработаны в соответствии с законами Республики Казахстан от 30 марта 1995 года 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от 31 августа 1995 года 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от 19 марта 2010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статистике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государственных услугах), от 16 мая 2014 года "</w:t>
      </w:r>
      <w:r>
        <w:rPr>
          <w:rFonts w:ascii="Times New Roman"/>
          <w:b w:val="false"/>
          <w:i w:val="false"/>
          <w:color w:val="000000"/>
          <w:sz w:val="28"/>
        </w:rPr>
        <w:t>О разрешениях и уведомлениях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разрешениях), от 2 июля 2018 года "</w:t>
      </w:r>
      <w:r>
        <w:rPr>
          <w:rFonts w:ascii="Times New Roman"/>
          <w:b w:val="false"/>
          <w:i w:val="false"/>
          <w:color w:val="000000"/>
          <w:sz w:val="28"/>
        </w:rPr>
        <w:t>О валютном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валютном контроле" (далее – Закон о валютном регулировании) и определяют порядок лицензирования уполномоченных организаций, включая квалификационные требования к ним, уведомления уполномоченным банком о начале или прекращении деятельности обменных пунктов, требования к деятельности по осуществлению обменных операций с наличной иностранной валютой, условия функционирования обменных пунктов и порядок проведения операций по покупке и (или) продаже аффинированного золота в слитках, выпущенных Национальным Банком Республики Казахстан (далее – Национальный Банк), а также формы и сроки представления уполномоченными банками и уполномоченными организациями отчетов.";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Правилах используются понятия, применяемые в значениях, указанных в законах Республики Казахстан от 8 декабря 2001 года  "</w:t>
      </w:r>
      <w:r>
        <w:rPr>
          <w:rFonts w:ascii="Times New Roman"/>
          <w:b w:val="false"/>
          <w:i w:val="false"/>
          <w:color w:val="000000"/>
          <w:sz w:val="28"/>
        </w:rPr>
        <w:t>О железнодорожном транспорте</w:t>
      </w:r>
      <w:r>
        <w:rPr>
          <w:rFonts w:ascii="Times New Roman"/>
          <w:b w:val="false"/>
          <w:i w:val="false"/>
          <w:color w:val="000000"/>
          <w:sz w:val="28"/>
        </w:rPr>
        <w:t>", от 7 января 2003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электронной цифровой подписи", от 12 апреля 2004 года  "</w:t>
      </w:r>
      <w:r>
        <w:rPr>
          <w:rFonts w:ascii="Times New Roman"/>
          <w:b w:val="false"/>
          <w:i w:val="false"/>
          <w:color w:val="000000"/>
          <w:sz w:val="28"/>
        </w:rPr>
        <w:t>О регулировании торговой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12 января 2007 года  "</w:t>
      </w:r>
      <w:r>
        <w:rPr>
          <w:rFonts w:ascii="Times New Roman"/>
          <w:b w:val="false"/>
          <w:i w:val="false"/>
          <w:color w:val="000000"/>
          <w:sz w:val="28"/>
        </w:rPr>
        <w:t>Об игорном бизнесе</w:t>
      </w:r>
      <w:r>
        <w:rPr>
          <w:rFonts w:ascii="Times New Roman"/>
          <w:b w:val="false"/>
          <w:i w:val="false"/>
          <w:color w:val="000000"/>
          <w:sz w:val="28"/>
        </w:rPr>
        <w:t>", от 15 июля 2010 года "</w:t>
      </w:r>
      <w:r>
        <w:rPr>
          <w:rFonts w:ascii="Times New Roman"/>
          <w:b w:val="false"/>
          <w:i w:val="false"/>
          <w:color w:val="000000"/>
          <w:sz w:val="28"/>
        </w:rPr>
        <w:t>Об использовании воздушного пространства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деятельности авиации", от 16 января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границе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услугах,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аппаратно-программный комплекс – совокупность программного обеспечения и технических средств, реализующих функции контрольно-кассовой машины, обеспечивающих ведение учета обменных операций, покупки и (или) продажи аффинированного золота в слитках;";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"Учредителем, участником (одним из учредителей, участников) уполномоченной организации не может быть лицо: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являвшееся учредителем, участником (одним из учредителей, участников) уполномоченной организации, в отношении которой было принято решение о лишении лицензии на обменные операции с наличной иностранной валютой, до истечения 3 (трех) лет с даты соответствующего решения территориального филиала Национального Банка;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которого имеется вступившее в законную силу решение суда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находящееся в перечне организаций и лиц, связанных с финансированием терроризма и экстремизма,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ПОДФТ.";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Лицензия на обменные операции с наличной иностранной валютой и приложение к лицензии на обменные операции с наличной иностранной валютой выдаются территориальным филиалом Национального Банка через веб-портал "электронного правительства" на казахском и русском языках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Наличие действительного приложения к действительной лицензии является основанием для функционирования обменного пункта (автоматизированного обменного пункта) уполномоченной организации. Для открытия дополнительного обменного пункта уполномоченная организация получает приложение к действительной лицензии, которое выдается на казахском и русском языках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17-1, 17-2, 17-3, 17-4 и 17-5 следующего содержания: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"17-1. Перечень основных требований к оказанию государственной услуги "Выдача лицензии на обменные операции с наличной иностранной валютой, выдаваемая уполномоченным организациям" (далее – государственная услуга),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установлен в приложении 4-1 к Правилам.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17-2. Работник территориального филиала Национального Банка, уполномоченный на прием и регистрацию корреспонденции, в день поступления заявления на получение лицензии и приложения к лицензии или приложения к действительной лицензии (далее – заявление) через веб-портал "электронного правительства" осуществляет его прием, регистрацию и направление на исполнение в подразделение, ответственное за оказание государственной услуги (далее – ответственное подразделение).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поступлении заявления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кодексу Республики Казахстан от 23 ноября 2015 года прием заявлений осуществляется следующим рабочим днем.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услугополучателем заявления через веб-портал "электронного правительства"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17-3. Работник ответственного подразделения в течение 2 (двух) рабочих дней со дня регистрации заявления проверяет полноту представленных документов.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2 (двух) рабочих дней со дня регистрации заявления готовит и направляет мотивированный отказ в дальнейшем рассмотрении заявления.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20 (двадцати) рабочих дней со дня регистрации заявления на получение лицензии и приложения к лицензии, в течение 10 (десяти) рабочих дней со дня регистрации заявления на получение приложения к действительной лицензии рассматривает документы на предмет их соответствия требованиям законодательства Республики Казахстан, готовит проект лицензии и приложения к лицензии, приложения к действительной лицензии либо мотивированного отказа.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17-4. Осмотр помещения, оборудования обменного пункта уполномоченной организации на соответствие предъявляемым требованиям проводится территориальным филиалом Национального Банка в течение срока, предусмотренного для выдачи лицензии на обменные операции с наличной иностранной валютой и (или) приложения к лицензии.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17-5.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Уполномоченная организация обращается в территориальный филиал Национального Банка посредством веб-портала "электронного правительства" за переоформлением действительной лицензии в следующих случаях: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реорганизации уполномоченной организации в форме слияния, присоединения;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 и (или) места государственной регистрации уполномоченной организации.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 (ее филиал) обращается в территориальный филиал Национального Банка посредством веб-портала "электронного правительства" за переоформлением действительного приложения к действительной лицензии в следующих случаях: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переоформления действительной лицензии на обменные операции с наличной иностранной валютой;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адреса места нахождения обменного пункта без его физического перемещения.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Переоформление лицензии и (или) приложения к лицензии не осуществляется в случаях, указанных в подпункте 2) части первой и подпункте 2) части второй настоящего пункта, если изменения места государственной регистрации уполномоченной организации, адреса места нахождения обменного пункта уполномоченной организации произошли в связи с изменением наименования населенных пунктов, названия улиц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направляется через веб-портал "электронного правительства" в течение 30 (тридцати) календарных дней со дня возникновения изменений, послуживших основанием для переоформления действительной лицензии и (или) действительного приложения к лицензии.";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19-1, 19-2, 19-3, 19-4, 19-5 и 19-6 следующего содержания: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Для переоформления действительной лицензии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подтверждающую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19-2. При переоформлении действительной лицензии и (или) действительного приложения к действительной лицензии работник ответственного подразделения в течение 2 (двух) рабочих дней со дня регистрации заявления на переоформление лицензии и (или) приложения к лицензии проверяет полноту представленных документов.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работник ответственного подразделения в течение срока, указанного в части первой настоящего пункта, готовит и направляет мотивированный отказ в дальнейшем рассмотрении заявления.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ответственного подразделения в течение 10 (десяти) рабочих дней со дня регистрации заявления на переоформление лицензии и (или) приложения к лицензии рассматривает документы на предмет их соответствия требованиям законодательства Республики Казахстан, готовит проект переоформленной лицензии и (или) приложения к действительной лицензии либо мотивированного отказа.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веб-портале "электронного правительства" результат оказания государственной услуги направляется услугополучателю в личный кабинет в форме электронного документа, удостоверенного электронной цифровой подписью уполномоченного лица.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19-3.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19-4. Основаниями для отказа в выдаче, переоформлении лицензии и (или) приложения к ней являются: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непредставление документов и (или) сведений,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валютном регулировании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разрешениях;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услугополучателя и (или) представленных документов и (или) сведений требованиям, установленным Законом о валютном регулировании и Законом о разрешениях.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19-5. Обжалование решений, действий (бездействий) территориального филиала Национального Банка и (или) его должностных лиц по вопросам оказания государственной услуги производится в письменном виде на имя руководителя территориального филиала Национального Банка либо лица, его замещающего.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юридического лица указываются его наименование, почтовый адрес, исходящий номер и дата подачи жалобы. Обращение подписывается услугополучателем.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территориального филиала Национального Банка, с указанием фамилии и инициалов лица, принявшего жалобу, срока и места получения ответа на поданную жалобу.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 вопросам оказания государственной услуги, поступившая в адрес территориального филиала Национального Банка, рассматривается в течение 5 (пяти) рабочих дней со дня ее регистрации.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19-6.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20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"33-2. Режим работы обменных пунктов (автоматизированных обменных пунктов) определяется юридическим лицом, имеющим право на осуществление обменных операций с наличной иностранной валютой, самостоятельно в пределах времени с 9 часов 00 минут до 20 часов 00 минут, за исключением обменных пунктов (автоматизированных обменных пунктов), расположенных внутри зданий железнодорожных вокзалов, казино, внутри аэровокзалов международных аэропортов, а также на территории автомобильных, морских и речных пунктов пропуска через Государственную границу Республики Казахстан.";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наличного денежного обращения в установленном законодательством Республики Казахстан порядке обеспечить: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информации и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двадцати одного календарного дня после дня его официального опубликования, за исключением абзацев шестьдесят второго, шестьдесят третьего, шестьдесят четвертого и шестьдесят пятого пункта 1 настоящего постановления, которые вводятся в действие по истечении двух месяцев после дня первого официального опубликования настоящего постановления.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8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обменные операции с наличной иностранной валютой, выдаваемая уполномоченным организациям"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1692"/>
        <w:gridCol w:w="10115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  <w:bookmarkEnd w:id="70"/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филиалы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www.egov.kz, www.elicense.kz (далее – портал)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дня регистрации обращения 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лицензии и приложения к ней – в течение 20 (двадцать)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выдаче приложения к действительной лицензии – в течение 10 (десять)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переоформлении лицензии и (или) приложения к ней – в течение 10 (десять) рабочих дней.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филиал Национального Банка в течение 2 (двух) рабочих дней с момента получения документов услугополучателя проверяет полноту представленных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установления факта неполноты представленных документов дает письменный мотивированный отказ в дальнейшем рассмотрении заявления.</w:t>
            </w:r>
          </w:p>
          <w:bookmarkEnd w:id="71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и (или) приложение к действительной лицензии по формам согласно приложениям 3 и 4 к Правилам осуществления обменных операций с наличной иностранной валютой в Республике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 Национального Банка Республики Казахстан № 49 от 4 апреля 2019 года (далее – Правила) либо мотивированный ответ об отказе в оказании государственной услуги.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результат оказания государственной услуги направляется и хранится в личном кабинете услугополучателя в форме электронного документа, удостоверенного электронной цифровой подписью руководителя территориального филиала Национального Банка.</w:t>
            </w:r>
          </w:p>
          <w:bookmarkEnd w:id="72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оказании государственной услуги уплачивается лицензионный сбор за выдачу лицензии на право занятия отдельными видами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лицензионный сбор при выдаче лицензии за право занятия данным видом деятельности составляет 40 (сорок) месячных расчетных показателей;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лицензионный сбор за переоформление лицензии составляет 10 (десять) процентов от ставки при выдаче лицензии.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Уплата лицензионного сбора осуществляется через банки второго уровня или организации, осуществляющие отдельные виды банковских операций, в безналичной форме через платежный шлюз "электронного правительства".</w:t>
            </w:r>
          </w:p>
          <w:bookmarkEnd w:id="73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филиал Национального Банка – с понедельника по пятницу с 9.00 до 18.30 часов с перерывом на обед с 13.00 до 14.30 часов, кроме выходных и праздничных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работ.</w:t>
            </w:r>
          </w:p>
          <w:bookmarkEnd w:id="74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лицензии на обменные операции с наличной иностранной валютой и приложения к лицензии уполномоченная организация направляет через веб-портал "электронного правительства"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получение лицензии на обменные операции с наличной иностранной валютой и приложения к лицензии по форме согласно приложению 1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устава;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электронную копию документа, подтверждающего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справки банка второго уровня о наличии банковского счета в иностранной валюте;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электронную копию документа банка второго уровня (в том числе выписку о движении денег по банковским счетам клиента), подтверждающую зачисление на банковский счет уполномоченной организации денег в качестве взноса в уставный капитал в соответствии с требованиями пункта 8 Правил, выданного не ранее 30 (тридцати) календарных дней до даты обращения за получением лицензии и (или) приложения к лицензии;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электронную копию справки банка второго уровня, подтверждающего прохождение кассиром подготовки по работе с наличной иностранной валютой, либо электронную копию документа,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23 ноября 2015 года и подтверждающего трудовую деятельность работника не менее 6 (шести) месяцев в качестве кассира по работе с наличной иностранной валютой (за исключением автоматизированного обменного пункта);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доходах). Допускается представление электронных копий других документов, раскрывающих источник происхождения вклада в уставный капитал уполномоченной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приложения к действительной лицензии при открытии дополнительного обменного пункта (автоматизированного обменного пункта) уполномоченная организация (ее филиал) направляет через веб-портал "электронного правительства"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электронную копию документа банка второго уровня (в том числе выписку о движении денег по банковским счетам клиента), подтверждающую зачисление на банковский счет уполномоченной организации денег в качестве взноса в уставный капитал в соответствии с требованиями пункта 8 Правил, выданного не ранее 30 (тридцати) календарных дней до даты обращения за получением лицензии и (или) приложения к лицензии, либо электронную копию финансовой отчетности по состоянию на первое число месяца подачи заявления на получение приложения к действительной лицензии на обменные операции с наличной иностранной валютой для дополнительно открываемого обменного пункта по форме согласно приложению 2 к Правилам, которая подтверждает соответствие размера уставного капитала уполномоченной организации установленным требованиям с учетом дополнительного обменного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электронную копию справки банка второго уровня, подтверждающего прохождение кассиром подготовки по работе с наличной иностранной валютой, либо электронную копию документа, предусмотренного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кодексом Республики Казахстан от 23 ноября 2015 года и подтверждающего трудовую деятельность работника не менее 6 (шести) месяцев в качестве кассира по работе с наличной иностранной валютой (за исключением автоматизированного обменного пункта);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электронную копию документа, раскрывающего источник происхождения вклада в уставный капитал уполномоченной организации (договор займа, договор купли-продажи имущества, справка о доходах). Допускается представление электронных копий других документов, раскрывающих источник происхождения вклада в уставный капитал уполномоченной организации;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электронную копию документа, подтверждающего технические характеристики и соответствие автоматизированного обменного пункта требованиям, установленным Правилами (за исключением обменного пункта).</w:t>
            </w:r>
          </w:p>
          <w:bookmarkEnd w:id="75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действительной лицензии на обменные операции с наличной иностранной валютой и (или) действительного приложения к лицензии уполномоченная организация направляет через веб-портал "электронного правительства" следующие документы: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электронное заявление на переоформление лицензии на обменные операции с наличной иностранной валютой и (или) приложения к лицензии на обменные операции с наличной иностранной валютой по форме согласно приложению 5 к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электронные копии документов, содержащих информацию об изменениях, послуживших основанием для переоформления лицензии и (или) приложения к действительной лицензии, за исключением документов, информация из которых содержится в государственных информационных системах;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электронную копию документа, подтверждающую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(в случае переоформления действительной лицензии на обменные операции с наличной иностранной валютой).</w:t>
            </w:r>
          </w:p>
          <w:bookmarkEnd w:id="76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непредставление документов и (или) сведений, предусмотренных Законом Республики Казахстан 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валютном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валютном контроле"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заявителя и (или) представленных документов и (или) сведений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валютном регулировании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валютном регулировании и валютном контроле"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разрешениях и уведомлениях".</w:t>
            </w:r>
          </w:p>
          <w:bookmarkEnd w:id="77"/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10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места оказания государственной услуги размещен на официальном интернет-ресурсе Национального Банка: www.nationalbank.kz.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портала, а также Единого контакт-центра по вопросам оказания государственных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 услугодателя указаны на официальном интернет-ресурсе услугодателя: www.nationalbank.kz, раздел "Потребителям услуг" далее "Государственные услуги".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8-800-080-7777, 1414.</w:t>
            </w:r>
          </w:p>
          <w:bookmarkEnd w:id="7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2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80"/>
    <w:bookmarkStart w:name="z12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 www.nationalbank.kz</w:t>
      </w:r>
    </w:p>
    <w:bookmarkEnd w:id="81"/>
    <w:bookmarkStart w:name="z12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об обменных операциях, проведенных через обменные пункты</w:t>
      </w:r>
    </w:p>
    <w:bookmarkEnd w:id="82"/>
    <w:bookmarkStart w:name="z12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NIV_UB</w:t>
      </w:r>
    </w:p>
    <w:bookmarkEnd w:id="83"/>
    <w:bookmarkStart w:name="z12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за ___________ 20 ____года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отчет: уполномоченный банк (его филиал)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ежемесячно, до 7 (седьмого) числа (включительно) месяца, следующего за отчетным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2"/>
        <w:gridCol w:w="11"/>
        <w:gridCol w:w="1197"/>
        <w:gridCol w:w="707"/>
        <w:gridCol w:w="1511"/>
        <w:gridCol w:w="1511"/>
        <w:gridCol w:w="1547"/>
        <w:gridCol w:w="1582"/>
        <w:gridCol w:w="1479"/>
        <w:gridCol w:w="1463"/>
      </w:tblGrid>
      <w:tr>
        <w:trPr>
          <w:trHeight w:val="30" w:hRule="atLeast"/>
        </w:trPr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и выше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и выше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13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(его филиала)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   Телефон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отчета об обменных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операциях, проведенных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обменные пункты</w:t>
            </w:r>
          </w:p>
        </w:tc>
      </w:tr>
    </w:tbl>
    <w:bookmarkStart w:name="z13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обменных операциях, проведенных через обменные пункты"</w:t>
      </w:r>
    </w:p>
    <w:bookmarkEnd w:id="89"/>
    <w:bookmarkStart w:name="z133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0"/>
    <w:bookmarkStart w:name="z13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об обменных операциях, проведенных через обменные пункты", (далее – Форма).</w:t>
      </w:r>
    </w:p>
    <w:bookmarkEnd w:id="91"/>
    <w:bookmarkStart w:name="z13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92"/>
    <w:bookmarkStart w:name="z13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уполномоченным банком (его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 осуществления обменных операций с наличной иностранной валютой в Республике Казахстан.</w:t>
      </w:r>
    </w:p>
    <w:bookmarkEnd w:id="93"/>
    <w:bookmarkStart w:name="z13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94"/>
    <w:bookmarkStart w:name="z13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95"/>
    <w:bookmarkStart w:name="z13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96"/>
    <w:bookmarkStart w:name="z140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97"/>
    <w:bookmarkStart w:name="z14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1 отчета предоставляются данные по всем видам иностранных валют, с которыми обменные пункты уполномоченного банка (его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98"/>
    <w:bookmarkStart w:name="z14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99"/>
    <w:bookmarkStart w:name="z14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графах 2, 3, 4, 5 и 6 данные предоставляются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уполномоченного банка (его филиала) осуществляли обменные операции в отчетном периоде.</w:t>
      </w:r>
    </w:p>
    <w:bookmarkEnd w:id="100"/>
    <w:bookmarkStart w:name="z14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101"/>
    <w:bookmarkStart w:name="z14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102"/>
    <w:bookmarkStart w:name="z14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Строки 210, 211, 212, 213, 220, 221, 222 и 223 заполняются в единицах счета.</w:t>
      </w:r>
    </w:p>
    <w:bookmarkEnd w:id="103"/>
    <w:bookmarkStart w:name="z14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графах 2, 3, 4, 5 и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тенге, по строке 312 (322) – наибольший из курсов данной иностранной валюты, установленный для обменных пунктов уполномоченного банка (его филиала) в отчетном месяце для покупки (продажи) за тенге.</w:t>
      </w:r>
    </w:p>
    <w:bookmarkEnd w:id="104"/>
    <w:bookmarkStart w:name="z14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заполнении данного отчета по всем графам обеспечивается выполнение следующих условий:</w:t>
      </w:r>
    </w:p>
    <w:bookmarkEnd w:id="105"/>
    <w:bookmarkStart w:name="z14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106"/>
    <w:bookmarkStart w:name="z1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107"/>
    <w:bookmarkStart w:name="z15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108"/>
    <w:bookmarkStart w:name="z15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5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10"/>
    <w:bookmarkStart w:name="z15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111"/>
    <w:bookmarkStart w:name="z15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 www.nationalbank.kz</w:t>
      </w:r>
    </w:p>
    <w:bookmarkEnd w:id="112"/>
    <w:bookmarkStart w:name="z15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движении иностранной валюты и обменных операциях, проведенных через обменные пункты</w:t>
      </w:r>
    </w:p>
    <w:bookmarkEnd w:id="113"/>
    <w:bookmarkStart w:name="z15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NIV_UO</w:t>
      </w:r>
    </w:p>
    <w:bookmarkEnd w:id="114"/>
    <w:bookmarkStart w:name="z16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15"/>
    <w:bookmarkStart w:name="z16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 __________ 20 ___ года</w:t>
      </w:r>
    </w:p>
    <w:bookmarkEnd w:id="116"/>
    <w:bookmarkStart w:name="z16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отчет: уполномоченная организация (ее филиал)</w:t>
      </w:r>
    </w:p>
    <w:bookmarkEnd w:id="117"/>
    <w:bookmarkStart w:name="z16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ежемесячно до 7 (седьмого) числа (включительно) месяца, следующего за отчетным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дата лицензии на обменные операции с наличной иностранной валютой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3"/>
        <w:gridCol w:w="799"/>
        <w:gridCol w:w="417"/>
        <w:gridCol w:w="891"/>
        <w:gridCol w:w="891"/>
        <w:gridCol w:w="912"/>
        <w:gridCol w:w="933"/>
        <w:gridCol w:w="871"/>
        <w:gridCol w:w="863"/>
      </w:tblGrid>
      <w:tr>
        <w:trPr>
          <w:trHeight w:val="30" w:hRule="atLeast"/>
        </w:trPr>
        <w:tc>
          <w:tcPr>
            <w:tcW w:w="5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валюты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видам валют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USD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EUR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RUB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CNY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GBP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валюты (указать вид иностранной валюты)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(...)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наличной иностранной валюты у физических лиц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наличной иностранной валюты, 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покупке наличной иностранной валюты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и выше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покупки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покупки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наличной иностранной валюты физическим лицам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валюты, всего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операций по продаже наличной иностранной валюты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сумму: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одного миллиона тенге (включительно)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двух миллионов 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десяти миллионов тенге и выше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Наименьший курс продажи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Наибольший курс продажи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Отчет о движении иностранной валюты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начало отчетного периода (410 = 411 + 412)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0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иностранной валюты за отчетный период (420 &gt; = 421 + 422 + 423 + 424).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иностранной валюты у уполномоченных банков 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1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от уполномоченных банков 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2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куплено у физических лиц через обменные пункты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поступления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Израсходовано иностранной валюты (430 &gt; = 431+432 + 433 + 434)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иностранной валюты уполномоченному банку (указать наименование уполномоченного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3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погашено займов уполномоченных банков (указать наименование уполномоченного банка)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4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продано наличной иностранной валюты физическим лицам через обменные пункты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иностранной валюты на конец отчетного периода(440 = 441 + 442)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в кассе (включая кассу обменных пунктов)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валюта на валютных счетах в уполномоченных банках (указать уполномоченные банки)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bookmarkEnd w:id="125"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   Телефон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отчета о движении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проведенных через обменные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пункты</w:t>
            </w:r>
          </w:p>
        </w:tc>
      </w:tr>
    </w:tbl>
    <w:bookmarkStart w:name="z181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административных данных "Отчет о движении иностранной валюты и обменных операциях, проведенных через обменные пункты"</w:t>
      </w:r>
    </w:p>
    <w:bookmarkEnd w:id="127"/>
    <w:bookmarkStart w:name="z18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8"/>
    <w:bookmarkStart w:name="z18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данных, "Отчет о движении иностранной валюты и обменных операциях, проведенных через обменные пункты", (далее – Форма).</w:t>
      </w:r>
    </w:p>
    <w:bookmarkEnd w:id="129"/>
    <w:bookmarkStart w:name="z18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130"/>
    <w:bookmarkStart w:name="z18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Реестров купленной и проданной наличной иностранной валюты, заполняемым в соответствии с приложением 11 к Правилам осуществления обменных операций с наличной иностранной валютой в Республике Казахстан. Филиал уполномоченной организации составляет самостоятельную Форму.</w:t>
      </w:r>
    </w:p>
    <w:bookmarkEnd w:id="131"/>
    <w:bookmarkStart w:name="z18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обменной операции в тенге, указанная соответственно в графах 8 и 10 Реестра купленной и проданной наличной иностранной валюты.</w:t>
      </w:r>
    </w:p>
    <w:bookmarkEnd w:id="132"/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133"/>
    <w:bookmarkStart w:name="z18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134"/>
    <w:bookmarkStart w:name="z18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 по разделам 1 и 2</w:t>
      </w:r>
    </w:p>
    <w:bookmarkEnd w:id="135"/>
    <w:bookmarkStart w:name="z19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формировании отчета в расчетах для данных в тенге используется эквивалент суммы обменной операции в тенге, указанный соответственно в графах 8 и 10 Реестра купленной и проданной наличной иностранной валюты.</w:t>
      </w:r>
    </w:p>
    <w:bookmarkEnd w:id="136"/>
    <w:bookmarkStart w:name="z19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1 отчета (за исключением строк, отмеченных знаком "X") представляются данные по всем видам иностранных валют, с которыми обменные пункты уполномоченной организации (ее филиала) осуществляли обменные операции в отчетном периоде. Суммарные данные по объемам обменных операций рассчитываются в тенге.</w:t>
      </w:r>
    </w:p>
    <w:bookmarkEnd w:id="137"/>
    <w:bookmarkStart w:name="z19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 данные по строкам с кодами 110, 111, 120 и 121 заполняются в тысячах тенге с округлением до целого значения (данные менее пятисот тенге округляются до нуля, от пятисот до тысячи тенге – до единицы).</w:t>
      </w:r>
    </w:p>
    <w:bookmarkEnd w:id="138"/>
    <w:bookmarkStart w:name="z19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графах 2, 3, 4, 5 и 6 данные представляются по доллару Соединенных Штатов Америки (USD), евро (EUR), российскому рублю (RUB), китайскому юаню (CNY), английскому фунту стерлингов (GBP), а в графах с последующей нумерацией приводятся данные по остальным видам валют, с которыми обменные пункты уполномоченной организации (ее филиала) осуществляли обменные операции в отчетном периоде.</w:t>
      </w:r>
    </w:p>
    <w:bookmarkEnd w:id="139"/>
    <w:bookmarkStart w:name="z19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графах 2, 3, 4, 5 и 6 и далее пронумерованных графах данные по строкам 110, 111, 120 и 121 представляются в единицах соответствующей валюты.</w:t>
      </w:r>
    </w:p>
    <w:bookmarkEnd w:id="140"/>
    <w:bookmarkStart w:name="z1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обменные пункты не проводили в отчетном периоде обменных операций с какой-либо из указанных в графах 2, 3, 4, 5 и 6 валют, то соответствующая графа не заполняется.</w:t>
      </w:r>
    </w:p>
    <w:bookmarkEnd w:id="141"/>
    <w:bookmarkStart w:name="z1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Строки 210, 211, 212, 213, 220, 221, 222 и 223 заполняются в единицах счета.</w:t>
      </w:r>
    </w:p>
    <w:bookmarkEnd w:id="142"/>
    <w:bookmarkStart w:name="z1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графах 2, 3, 4, 5, 6 и далее пронумерованных графах по строкам 311, 312, 321 и 322 указывается курс соответствующей иностранной валюты. По строке 311 (321) в соответствующей графе указывается наименьший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тенге; по строке 312 (322) – наибольший из курсов данной иностранной валюты, установленный для обменных пунктов уполномоченной организации (ее филиала) в отчетном месяце для покупки (продажи) за тенге.</w:t>
      </w:r>
    </w:p>
    <w:bookmarkEnd w:id="143"/>
    <w:bookmarkStart w:name="z1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заполнении разделов 1 и 2 отчета по всем графам обеспечивается выполнение следующих условий:</w:t>
      </w:r>
    </w:p>
    <w:bookmarkEnd w:id="144"/>
    <w:bookmarkStart w:name="z1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111 ≤ строка с кодом 110;</w:t>
      </w:r>
    </w:p>
    <w:bookmarkEnd w:id="145"/>
    <w:bookmarkStart w:name="z20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121 ≤ строка с кодом 120;</w:t>
      </w:r>
    </w:p>
    <w:bookmarkEnd w:id="146"/>
    <w:bookmarkStart w:name="z20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210 ≥ строка с кодом 211 + строка с кодом 212 + строка с кодом 213;</w:t>
      </w:r>
    </w:p>
    <w:bookmarkEnd w:id="147"/>
    <w:bookmarkStart w:name="z20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с кодом 220 ≥ строка с кодом 221 + строка с кодом 222 + строка с кодом 223.</w:t>
      </w:r>
    </w:p>
    <w:bookmarkEnd w:id="148"/>
    <w:bookmarkStart w:name="z20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3</w:t>
      </w:r>
    </w:p>
    <w:bookmarkEnd w:id="149"/>
    <w:bookmarkStart w:name="z20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разделе 3 отчета графа 1 не заполняется.</w:t>
      </w:r>
    </w:p>
    <w:bookmarkEnd w:id="150"/>
    <w:bookmarkStart w:name="z20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графах 2, 3, 4, 5 и 6 и далее пронумерованных графах данные по строкам представляются в тысячах единиц соответствующей валюты.</w:t>
      </w:r>
    </w:p>
    <w:bookmarkEnd w:id="151"/>
    <w:bookmarkStart w:name="z20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графах 2, 3, 4, 5 и 6 и далее пронумерованных графах данные по строкам 423 и 433 должны быть равны данным в строках 110 и 120 соответственно, переведенным в тысячи единиц.</w:t>
      </w:r>
    </w:p>
    <w:bookmarkEnd w:id="152"/>
    <w:bookmarkStart w:name="z20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заполнении раздела 3 отчета по графам 2, 3, 4, 5 и 6 и далее пронумерованным графам по строкам 410, 420, 430 и 440 обеспечивается выполнение условий, указанных в наименовании соответствующих показателей.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1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54"/>
    <w:bookmarkStart w:name="z21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155"/>
    <w:bookmarkStart w:name="z21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 www.nationalbank.kz</w:t>
      </w:r>
    </w:p>
    <w:bookmarkEnd w:id="156"/>
    <w:bookmarkStart w:name="z21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</w:t>
      </w:r>
    </w:p>
    <w:bookmarkEnd w:id="157"/>
    <w:bookmarkStart w:name="z21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NIV_VAL</w:t>
      </w:r>
    </w:p>
    <w:bookmarkEnd w:id="158"/>
    <w:bookmarkStart w:name="z21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59"/>
    <w:bookmarkStart w:name="z21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 __________ 20 ___ года</w:t>
      </w:r>
    </w:p>
    <w:bookmarkEnd w:id="160"/>
    <w:bookmarkStart w:name="z21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отчет: уполномоченный банк (его филиал) или уполномоченная организация (ее филиал)</w:t>
      </w:r>
    </w:p>
    <w:bookmarkEnd w:id="161"/>
    <w:bookmarkStart w:name="z21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(десятого) числа (включительно) месяца, следующего за отчетным периодом</w:t>
      </w:r>
    </w:p>
    <w:bookmarkEnd w:id="1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40"/>
        <w:gridCol w:w="1936"/>
        <w:gridCol w:w="1544"/>
        <w:gridCol w:w="1545"/>
        <w:gridCol w:w="1545"/>
        <w:gridCol w:w="1545"/>
        <w:gridCol w:w="15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Информация о клиенте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валютной операции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идентификационный номер (иные данные) 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резидентства*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Покупка (продажа)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тысячах единиц валюты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валюты 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</w:tr>
      <w:tr>
        <w:trPr>
          <w:trHeight w:val="30" w:hRule="atLeast"/>
        </w:trPr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указывается в соответствии с документом, представленным клиентом при проведении обменной операции: 1 – для резидентов (граждане Республики Казахстан, иностранцы и лица без гражданства, постоянно проживающие в Республике Казахстан на основании разрешения на постоянное проживание в Республике Казахстан), 2 – для нерезидентов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банка (его филиала) или  уполномоченной организации (ее филиала)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 Телефон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покупке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продаже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сумму, равную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превышающую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50 000 (пятьдесят тысяч)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долларов Соединенных Штатов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Америки в эквиваленте</w:t>
            </w:r>
          </w:p>
        </w:tc>
      </w:tr>
    </w:tbl>
    <w:bookmarkStart w:name="z223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покупке и (или) продаже наличной иностранной валюты на сумму, равную или превышающую 50 000 (пятьдесят тысяч) долларов Соединенных Штатов Америки в эквиваленте"</w:t>
      </w:r>
    </w:p>
    <w:bookmarkEnd w:id="165"/>
    <w:bookmarkStart w:name="z22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66"/>
    <w:bookmarkStart w:name="z22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"Отчет о покупке и (или) продаже наличной иностранной валюты на сумму, равную или превышающую 50 000 (пятьдесят тысяч) долларов Соединенных Штатов Америки (далее – США) в эквиваленте", (далее – Форма).</w:t>
      </w:r>
    </w:p>
    <w:bookmarkEnd w:id="167"/>
    <w:bookmarkStart w:name="z22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представляется уполномоченным банком (его филиалом) или уполномоченной организацией (ее филиалом) ежемесячно и включает информацию об операциях покупки или продажи наличной иностранной валюты на сумму, равную или превышающую 50 000 (пятьдесят тысяч) долларов США в эквиваленте.</w:t>
      </w:r>
    </w:p>
    <w:bookmarkEnd w:id="168"/>
    <w:bookmarkStart w:name="z22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Руководитель или главный бухгалтер и исполнитель подписывают Форму с указанием фамилии, имени, отчества (при его наличии).</w:t>
      </w:r>
    </w:p>
    <w:bookmarkEnd w:id="169"/>
    <w:bookmarkStart w:name="z22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данных за отчетный период Форма представляется с нулевыми значениями.</w:t>
      </w:r>
    </w:p>
    <w:bookmarkEnd w:id="170"/>
    <w:bookmarkStart w:name="z22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171"/>
    <w:bookmarkStart w:name="z23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72"/>
    <w:bookmarkStart w:name="z23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Форма направляется при наличии операций по покупке и (или) продаже одному физическому лицу за отчетный период наличной иностранной валюты на сумму, равную или превышающую 50 000 (пятьдесят тысяч) долларов США в эквиваленте. </w:t>
      </w:r>
    </w:p>
    <w:bookmarkEnd w:id="173"/>
    <w:bookmarkStart w:name="z23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Информация по операциям по покупке или продаже наличной иностранной валюты отражается в отчете на дату проведения операции. </w:t>
      </w:r>
    </w:p>
    <w:bookmarkEnd w:id="174"/>
    <w:bookmarkStart w:name="z23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части 1 Формы указывается информация о клиенте-физическом лице, осуществившем операцию по покупке или продаже наличной иностранной валюты. </w:t>
      </w:r>
    </w:p>
    <w:bookmarkEnd w:id="175"/>
    <w:bookmarkStart w:name="z23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1.2 указывается индивидуальный идентификационный номер. При отсутствии индивидуального идентификационного номера у физического лица, в графе 1.2 указываются данные документа, удостоверяющего личность.</w:t>
      </w:r>
    </w:p>
    <w:bookmarkEnd w:id="176"/>
    <w:bookmarkStart w:name="z23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части 2 Формы указывается информация об операции по покупке или продаже иностранной валюты.</w:t>
      </w:r>
    </w:p>
    <w:bookmarkEnd w:id="177"/>
    <w:bookmarkStart w:name="z23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2.2 указывается "1" при покупке клиентом наличной иностранной валюты, "2" – при продаже клиентом наличной иностранной валюты.</w:t>
      </w:r>
    </w:p>
    <w:bookmarkEnd w:id="178"/>
    <w:bookmarkStart w:name="z23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2.4 указывается трехзначный буквенный код валюты в соответствии с национальным классификатором Республики Казахстан НК РК 07 ISO 4217-2012 "Коды для обозначения валют и фондов".</w:t>
      </w:r>
    </w:p>
    <w:bookmarkEnd w:id="1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2020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обменных операций с наличной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валютой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40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180"/>
    <w:bookmarkStart w:name="z24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центральный аппарат или территориальный филиал Национального Банка Республики Казахстан</w:t>
      </w:r>
    </w:p>
    <w:bookmarkEnd w:id="181"/>
    <w:bookmarkStart w:name="z24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официальном интернет-ресурсе www.nationalbank.kz</w:t>
      </w:r>
    </w:p>
    <w:bookmarkEnd w:id="182"/>
    <w:bookmarkStart w:name="z24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</w:t>
      </w:r>
    </w:p>
    <w:bookmarkEnd w:id="183"/>
    <w:bookmarkStart w:name="z24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SMSAZ_UO</w:t>
      </w:r>
    </w:p>
    <w:bookmarkEnd w:id="184"/>
    <w:bookmarkStart w:name="z24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</w:t>
      </w:r>
    </w:p>
    <w:bookmarkEnd w:id="185"/>
    <w:bookmarkStart w:name="z24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Отчетный, период: за __________ 20 ___ года</w:t>
      </w:r>
    </w:p>
    <w:bookmarkEnd w:id="186"/>
    <w:bookmarkStart w:name="z24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 представляющих отчет: уполномоченная организация (ее филиал)</w:t>
      </w:r>
    </w:p>
    <w:bookmarkEnd w:id="187"/>
    <w:bookmarkStart w:name="z24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до 10 (десятого) числа (включительно) месяца, следующего за отчетным</w:t>
      </w:r>
    </w:p>
    <w:bookmarkEnd w:id="1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0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Номер и дата лицензии на обменные операции с наличной иностранной валютой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2"/>
        <w:gridCol w:w="1741"/>
        <w:gridCol w:w="1028"/>
        <w:gridCol w:w="1281"/>
        <w:gridCol w:w="1282"/>
        <w:gridCol w:w="1282"/>
        <w:gridCol w:w="1282"/>
        <w:gridCol w:w="1282"/>
      </w:tblGrid>
      <w:tr>
        <w:trPr>
          <w:trHeight w:val="30" w:hRule="atLeast"/>
        </w:trPr>
        <w:tc>
          <w:tcPr>
            <w:tcW w:w="3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Разновидности по массам (грамм)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1. Операции по покупке аффинированного золота в слитках у физических лиц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у нерезидентов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2. Операции по продаже аффинированного золота в слитках физическим лицам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нерезидентам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 всего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3. Операции по покупке у Национального Банка Республики Казахстан и продаже Национальному Банку Республики Казахстан аффинированного золота в слитках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проданного аффинированного золота в слитках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купленного аффинированного золота в слитках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4. Итоги по операциям с аффинированным золотом в слитках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начало отчетного периода в кассе обменного пункта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аффинированного золота в слитках на конец отчетного периода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уполномоченной организации (ее филиала)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 Телефон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Исполнитель _______________________________________________________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или лицо, уполномоченное им на подписание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фамилия, имя и отчество (при его наличии) подпись,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"____" ______________ 20__ года</w:t>
      </w:r>
    </w:p>
    <w:bookmarkEnd w:id="1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отчета о проведенных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обменные пункты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операциях по покупке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продаже аффинированного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золота в слитках, выпущенных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5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</w:t>
      </w:r>
    </w:p>
    <w:bookmarkEnd w:id="191"/>
    <w:bookmarkStart w:name="z25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требования по заполнению формы, предназначенной для сбора административных данных "Отчет о проведенных через обменные пункты операциях по покупке и (или) продаже аффинированного золота в слитках, выпущенных Национальным Банком Республики Казахстан", (далее – Форма).</w:t>
      </w:r>
    </w:p>
    <w:bookmarkEnd w:id="192"/>
    <w:bookmarkStart w:name="z25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30 марта 1995 года "О Национальном Банке Республики Казахстан".</w:t>
      </w:r>
    </w:p>
    <w:bookmarkEnd w:id="193"/>
    <w:bookmarkStart w:name="z25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ежемесячно уполномоченной организацией (ее филиалом) по данным за отчетный месяц журнала учета операций с аффинированным золотом в слитках по форме согласно приложению 16 к Правилам осуществления обменных операций с наличной иностранной валютой в Республике Казахстан. Филиал уполномоченной организации составляет самостоятельную Форму.</w:t>
      </w:r>
    </w:p>
    <w:bookmarkEnd w:id="194"/>
    <w:bookmarkStart w:name="z25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составлении Формы в расчетах для данных в тенге используется сумма операций в тенге, указанная соответственно в графах 5 и 8 Реестра учета операций с аффинированным золотом в слитках.</w:t>
      </w:r>
    </w:p>
    <w:bookmarkEnd w:id="195"/>
    <w:bookmarkStart w:name="z25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отсутствия данных за отчетный период Форма представляется с нулевыми значениями.</w:t>
      </w:r>
    </w:p>
    <w:bookmarkEnd w:id="196"/>
    <w:bookmarkStart w:name="z25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Корректировки (исправления, дополнения) данных вносятся в течение шести месяцев после срока, установленного для представления Формы.</w:t>
      </w:r>
    </w:p>
    <w:bookmarkEnd w:id="19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