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2e14" w14:textId="c432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25 марта 2020 года № 109 "О некоторых вопросах оказания государственных услуг в социально-трудовой сфере и обеспечения продуктово-бытовым набором некоторых категорий населения на период чрезвычайного положения"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8 мая 2020 года № 169. Зарегистрирован в Министерстве юстиции Республики Казахстан 10 мая 2020 года № 20599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Указа Президента Республики Казахстан от 16 марта 2020 года "О мерах по обеспечению социально-экономической стабильности", частью 2 пункта 2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от 8 февраля 2003 года "О чрезвычайном положении", пунктом 11 протокола заседания Государственной комиссии по обеспечению режима чрезвычайного положения при Президенте Республики Казахстан от 18 марта 2020 года № 3, поручением Президента Республики Казахстан, данном на заседании Государственной комиссии по обеспечению режима чрезвычайного положения при Президенте Республики Казахстан от 23 марта 2020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марта 2020 года № 109 "О некоторых вопросах оказания государственных услуг в социально-трудовой сфере и обеспечения продуктово-бытовым набором некоторых категорий населения на период чрезвычайного положения" (зарегистрированный в Реестре государственной регистрации нормативных правовых актов № 20164, опубликованный 26 марта 2020 года в Эталонном контрольном банке нормативных правовых актов Республики Казахстан в электронном виде)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некоторых государственных услуг в социально-трудовой сфере и порядка обеспечения продуктово-бытовым набором некоторых категорий населения на период чрезвычайного положения, утвержденных вышеуказанным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"2-2. В случае если основания для назначения пенсионных выплат по возрасту, государственной базовой пенсионной выплаты, государственных социальных пособий, государственного специального пособия, социальных выплат из Государственного фонда социального страхования наступили не более чем за месяц до введения чрезвычайного положения или в период чрезвычайного положения, то заявитель, не обратившийся в указанный период, может подать заявление с приложением необходимых документов на назначение указанных выплат в течении трех месяцев после завершения режима чрезвычайного положения.</w:t>
      </w:r>
    </w:p>
    <w:bookmarkEnd w:id="3"/>
    <w:bookmarkStart w:name="z9" w:id="4"/>
    <w:p>
      <w:pPr>
        <w:spacing w:after="0"/>
        <w:ind w:left="0"/>
        <w:jc w:val="both"/>
      </w:pPr>
      <w:r>
        <w:rPr>
          <w:rFonts w:ascii="Times New Roman"/>
          <w:b w:val="false"/>
          <w:i w:val="false"/>
          <w:color w:val="000000"/>
          <w:sz w:val="28"/>
        </w:rPr>
        <w:t xml:space="preserve">
      При этом, назначение указанных выплат осуществляется со дня возникновения оснований для назначения, наступивших не более чем за месяц до введения чрезвычайного положения или в период чрезвычайного положения.";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"12. В случае если услугополучатель является получателем государственной адресной социальной помощи (далее – адресная социальная помощь) на 31 марта 2020 года, то в целях исключения прямого контакта адресная социальная помощь на следующий квартал услугополучателю продлеваются автоматически без обращения лица с учетом доходов 4 квартала 2019 года, учтенных при расчете размера адресной социальной помощи в первом квартале.</w:t>
      </w:r>
    </w:p>
    <w:bookmarkEnd w:id="5"/>
    <w:bookmarkStart w:name="z12" w:id="6"/>
    <w:p>
      <w:pPr>
        <w:spacing w:after="0"/>
        <w:ind w:left="0"/>
        <w:jc w:val="both"/>
      </w:pPr>
      <w:r>
        <w:rPr>
          <w:rFonts w:ascii="Times New Roman"/>
          <w:b w:val="false"/>
          <w:i w:val="false"/>
          <w:color w:val="000000"/>
          <w:sz w:val="28"/>
        </w:rPr>
        <w:t xml:space="preserve">
      При этом размер выплаты адресной социальной помощи на следующий квартал увеличивается на пять процентов от размера адресной социальной помощи, назначенного в квартале согласно </w:t>
      </w:r>
      <w:r>
        <w:rPr>
          <w:rFonts w:ascii="Times New Roman"/>
          <w:b w:val="false"/>
          <w:i w:val="false"/>
          <w:color w:val="000000"/>
          <w:sz w:val="28"/>
        </w:rPr>
        <w:t>Правилам</w:t>
      </w:r>
      <w:r>
        <w:rPr>
          <w:rFonts w:ascii="Times New Roman"/>
          <w:b w:val="false"/>
          <w:i w:val="false"/>
          <w:color w:val="000000"/>
          <w:sz w:val="28"/>
        </w:rPr>
        <w:t xml:space="preserve"> назначения и выплаты государственной адресной социальной помощи и предоставления гарантированного социального пакета, утвержденной приказом Министра здравоохранения и социального развития Республики Казахстан от 5 мая 2015 года № 320 (зарегистрирован в Реестре государственной регистрации нормативных правовых актов за № 11426) (далее – Приказ № 320), предшествующем автоматически продленному кварталу.</w:t>
      </w:r>
    </w:p>
    <w:bookmarkEnd w:id="6"/>
    <w:bookmarkStart w:name="z13" w:id="7"/>
    <w:p>
      <w:pPr>
        <w:spacing w:after="0"/>
        <w:ind w:left="0"/>
        <w:jc w:val="both"/>
      </w:pPr>
      <w:r>
        <w:rPr>
          <w:rFonts w:ascii="Times New Roman"/>
          <w:b w:val="false"/>
          <w:i w:val="false"/>
          <w:color w:val="000000"/>
          <w:sz w:val="28"/>
        </w:rPr>
        <w:t>
      Предоставление детям в возрасте от одного до шести лет гарантированного социального пакета продлевается одновременно с продлением срока назначения адресной социальной помощи. Вид продуктового набора с учетом возраста ребенка определяется исходя из возраста ребенка на момент даты продления адресной социальной помощи и предоставляется на период ее продления. При этом детям до шести лет, являющимся получателем гарантированного социального пакета, продуктово-бытовой набор на период чрезвычайного положения, предусмотренный в пункте 25 настоящего приказа, не предоставляется.</w:t>
      </w:r>
    </w:p>
    <w:bookmarkEnd w:id="7"/>
    <w:bookmarkStart w:name="z14" w:id="8"/>
    <w:p>
      <w:pPr>
        <w:spacing w:after="0"/>
        <w:ind w:left="0"/>
        <w:jc w:val="both"/>
      </w:pPr>
      <w:r>
        <w:rPr>
          <w:rFonts w:ascii="Times New Roman"/>
          <w:b w:val="false"/>
          <w:i w:val="false"/>
          <w:color w:val="000000"/>
          <w:sz w:val="28"/>
        </w:rPr>
        <w:t>
      В случае изменения состава семьи и/или дохода получателям адресной социальной помощи на 31 марта 2020 года размер назначенной адресной социальной помощи в следующем квартале пересчитывается с даты их обращения.</w:t>
      </w:r>
    </w:p>
    <w:bookmarkEnd w:id="8"/>
    <w:bookmarkStart w:name="z15" w:id="9"/>
    <w:p>
      <w:pPr>
        <w:spacing w:after="0"/>
        <w:ind w:left="0"/>
        <w:jc w:val="both"/>
      </w:pPr>
      <w:r>
        <w:rPr>
          <w:rFonts w:ascii="Times New Roman"/>
          <w:b w:val="false"/>
          <w:i w:val="false"/>
          <w:color w:val="000000"/>
          <w:sz w:val="28"/>
        </w:rPr>
        <w:t xml:space="preserve">
      При отказе получателям адресной социальной помощи на 31 марта 2020 года в назначении адресной социальной помощи в результате перерасчета по их инициативе ранее полученная адресная социальная помощь в расчетном периоде не подлежат возврату. </w:t>
      </w:r>
    </w:p>
    <w:bookmarkEnd w:id="9"/>
    <w:bookmarkStart w:name="z16" w:id="10"/>
    <w:p>
      <w:pPr>
        <w:spacing w:after="0"/>
        <w:ind w:left="0"/>
        <w:jc w:val="both"/>
      </w:pPr>
      <w:r>
        <w:rPr>
          <w:rFonts w:ascii="Times New Roman"/>
          <w:b w:val="false"/>
          <w:i w:val="false"/>
          <w:color w:val="000000"/>
          <w:sz w:val="28"/>
        </w:rPr>
        <w:t xml:space="preserve">
      В целях исключения прямого контакта заключение социального контракта между Центром занятости населения и заявителем на назначение обусловленной денежной помощи, а также составление индивидуального плана для выхода семьи (лица) из трудной жизненной ситуации осуществляется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приложения к социальному контракту Приказа № 320, размещенный на интернет ресурсах уполномоченного органа.</w:t>
      </w:r>
    </w:p>
    <w:bookmarkEnd w:id="10"/>
    <w:bookmarkStart w:name="z17" w:id="11"/>
    <w:p>
      <w:pPr>
        <w:spacing w:after="0"/>
        <w:ind w:left="0"/>
        <w:jc w:val="both"/>
      </w:pPr>
      <w:r>
        <w:rPr>
          <w:rFonts w:ascii="Times New Roman"/>
          <w:b w:val="false"/>
          <w:i w:val="false"/>
          <w:color w:val="000000"/>
          <w:sz w:val="28"/>
        </w:rPr>
        <w:t>
      Получателям адресной социальной помощи на 31 марта 2020 года социальный контракт продлевается автоматически без подписания.";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bookmarkStart w:name="z19" w:id="12"/>
    <w:p>
      <w:pPr>
        <w:spacing w:after="0"/>
        <w:ind w:left="0"/>
        <w:jc w:val="both"/>
      </w:pPr>
      <w:r>
        <w:rPr>
          <w:rFonts w:ascii="Times New Roman"/>
          <w:b w:val="false"/>
          <w:i w:val="false"/>
          <w:color w:val="000000"/>
          <w:sz w:val="28"/>
        </w:rPr>
        <w:t xml:space="preserve">
      "17. Лицам, срок переосвидетельствования которых наступил не более чем за месяц до введения чрезвычайного положения и во время чрезвычайного положения, и не прошедшим переосвидетельствование в указанный период, сроки инвалидности, степени утраты общей трудоспособности, степени утраты профессиональной трудоспособности и индивидуальной программы реабилитации инвалида продлеваются автоматически на три месяца с установленной ранее даты переосвидетельствования. Месяц окончания действия режима чрезвычайного положения засчитывается полностью.";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 </w:t>
      </w:r>
    </w:p>
    <w:bookmarkStart w:name="z21" w:id="13"/>
    <w:p>
      <w:pPr>
        <w:spacing w:after="0"/>
        <w:ind w:left="0"/>
        <w:jc w:val="both"/>
      </w:pPr>
      <w:r>
        <w:rPr>
          <w:rFonts w:ascii="Times New Roman"/>
          <w:b w:val="false"/>
          <w:i w:val="false"/>
          <w:color w:val="000000"/>
          <w:sz w:val="28"/>
        </w:rPr>
        <w:t xml:space="preserve">
      "24. Лицам, указанным в пункте 17 настоящих Правил, являющимися получателями государственного социального пособия по инвалидности и (или) социальной выплаты на случай утраты трудоспособности, выплаты осуществляются согласно продленному сроку инвалидности и (или) степени утраты общей трудоспособности.";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"25. Продуктово-бытовой набор предоставляется на период чрезвычайного положения:</w:t>
      </w:r>
    </w:p>
    <w:bookmarkEnd w:id="14"/>
    <w:bookmarkStart w:name="z24" w:id="15"/>
    <w:p>
      <w:pPr>
        <w:spacing w:after="0"/>
        <w:ind w:left="0"/>
        <w:jc w:val="both"/>
      </w:pPr>
      <w:r>
        <w:rPr>
          <w:rFonts w:ascii="Times New Roman"/>
          <w:b w:val="false"/>
          <w:i w:val="false"/>
          <w:color w:val="000000"/>
          <w:sz w:val="28"/>
        </w:rPr>
        <w:t>
      детям в возрасте от шести до восемнадцати лет, из числа получателей адресной социальной помощи;</w:t>
      </w:r>
    </w:p>
    <w:bookmarkEnd w:id="15"/>
    <w:bookmarkStart w:name="z25" w:id="16"/>
    <w:p>
      <w:pPr>
        <w:spacing w:after="0"/>
        <w:ind w:left="0"/>
        <w:jc w:val="both"/>
      </w:pPr>
      <w:r>
        <w:rPr>
          <w:rFonts w:ascii="Times New Roman"/>
          <w:b w:val="false"/>
          <w:i w:val="false"/>
          <w:color w:val="000000"/>
          <w:sz w:val="28"/>
        </w:rPr>
        <w:t xml:space="preserve">
      детям-инвалидам до шестнадцати лет, за исключением инвалидов, постоянно проживающих в медико-социальных учреждениях за счет государственного бюджета и инвалидов, находящихся в местах лишения свободы; </w:t>
      </w:r>
    </w:p>
    <w:bookmarkEnd w:id="16"/>
    <w:bookmarkStart w:name="z26" w:id="17"/>
    <w:p>
      <w:pPr>
        <w:spacing w:after="0"/>
        <w:ind w:left="0"/>
        <w:jc w:val="both"/>
      </w:pPr>
      <w:r>
        <w:rPr>
          <w:rFonts w:ascii="Times New Roman"/>
          <w:b w:val="false"/>
          <w:i w:val="false"/>
          <w:color w:val="000000"/>
          <w:sz w:val="28"/>
        </w:rPr>
        <w:t xml:space="preserve">
      инвалидам первой, второй и третьей группы всех возрастов, за исключением инвалидов, постоянно проживающих в медико-социальных учреждениях за счет государственного бюджета и инвалидов, находящихся в местах лишения свободы; </w:t>
      </w:r>
    </w:p>
    <w:bookmarkEnd w:id="17"/>
    <w:bookmarkStart w:name="z27" w:id="18"/>
    <w:p>
      <w:pPr>
        <w:spacing w:after="0"/>
        <w:ind w:left="0"/>
        <w:jc w:val="both"/>
      </w:pPr>
      <w:r>
        <w:rPr>
          <w:rFonts w:ascii="Times New Roman"/>
          <w:b w:val="false"/>
          <w:i w:val="false"/>
          <w:color w:val="000000"/>
          <w:sz w:val="28"/>
        </w:rPr>
        <w:t xml:space="preserve">
      воспитывающим ребенка-инвалида; </w:t>
      </w:r>
    </w:p>
    <w:bookmarkEnd w:id="18"/>
    <w:bookmarkStart w:name="z28" w:id="19"/>
    <w:p>
      <w:pPr>
        <w:spacing w:after="0"/>
        <w:ind w:left="0"/>
        <w:jc w:val="both"/>
      </w:pPr>
      <w:r>
        <w:rPr>
          <w:rFonts w:ascii="Times New Roman"/>
          <w:b w:val="false"/>
          <w:i w:val="false"/>
          <w:color w:val="000000"/>
          <w:sz w:val="28"/>
        </w:rPr>
        <w:t>
      безработные, зарегистрированные в местном органе по вопросам занятости населения.</w:t>
      </w:r>
    </w:p>
    <w:bookmarkEnd w:id="19"/>
    <w:bookmarkStart w:name="z29" w:id="20"/>
    <w:p>
      <w:pPr>
        <w:spacing w:after="0"/>
        <w:ind w:left="0"/>
        <w:jc w:val="both"/>
      </w:pPr>
      <w:r>
        <w:rPr>
          <w:rFonts w:ascii="Times New Roman"/>
          <w:b w:val="false"/>
          <w:i w:val="false"/>
          <w:color w:val="000000"/>
          <w:sz w:val="28"/>
        </w:rPr>
        <w:t xml:space="preserve">
      Каждому лицу, относящемуся к нескольким категориям, указанным в части первой настоящего пункта, продуктово-бытовой набор выдается или денежные средства перечисляются только по одному основанию.". </w:t>
      </w:r>
    </w:p>
    <w:bookmarkEnd w:id="20"/>
    <w:bookmarkStart w:name="z30" w:id="21"/>
    <w:p>
      <w:pPr>
        <w:spacing w:after="0"/>
        <w:ind w:left="0"/>
        <w:jc w:val="both"/>
      </w:pPr>
      <w:r>
        <w:rPr>
          <w:rFonts w:ascii="Times New Roman"/>
          <w:b w:val="false"/>
          <w:i w:val="false"/>
          <w:color w:val="000000"/>
          <w:sz w:val="28"/>
        </w:rPr>
        <w:t xml:space="preserve">
      2. Департаменту анализа и развития государственных услуг Министерства труда и социальной защиты населения Республики Казахстан в установленном законодательством порядке обеспечить: </w:t>
      </w:r>
    </w:p>
    <w:bookmarkEnd w:id="21"/>
    <w:bookmarkStart w:name="z31" w:id="2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2"/>
    <w:bookmarkStart w:name="z32" w:id="2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3"/>
    <w:bookmarkStart w:name="z33" w:id="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4"/>
    <w:bookmarkStart w:name="z34" w:id="25"/>
    <w:p>
      <w:pPr>
        <w:spacing w:after="0"/>
        <w:ind w:left="0"/>
        <w:jc w:val="both"/>
      </w:pPr>
      <w:r>
        <w:rPr>
          <w:rFonts w:ascii="Times New Roman"/>
          <w:b w:val="false"/>
          <w:i w:val="false"/>
          <w:color w:val="000000"/>
          <w:sz w:val="28"/>
        </w:rPr>
        <w:t xml:space="preserve">
      4) доведение настоящего приказа до областных, городов Нур-Султан, Алматы и Шымкент управлений координации занятости и социальных программ, территориальных подразделений Комитета труда, социальной защиты и миграции Министерства труда и социальной защиты населения Республики Казахстан, некоммерческого акционерного общества "Государственная корпорация "Правительство для граждан", акционерного общества "Центр развития трудовых ресурсов" и акционерного общества "Государственный фонд социального страхования". </w:t>
      </w:r>
    </w:p>
    <w:bookmarkEnd w:id="25"/>
    <w:bookmarkStart w:name="z35" w:id="2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Мукушева Н. Н.</w:t>
      </w:r>
    </w:p>
    <w:bookmarkEnd w:id="26"/>
    <w:bookmarkStart w:name="z36" w:id="2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27 апреля 2020 года, за исключением абзацев шестого, седьмого, восьмого, девятого, десятого, одиннадцатого, двенадцатого, тринадцатого, восемнадцатого, девятнадцатого, двадцатого, двадцать первого, двадцать второго, двадцать третьего, двадцать четвертого, двадцать пятого пункта 1 настоящего приказа, которые вводятся в действие с 1 апреля 2020 года.</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