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c976" w14:textId="8a9c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предъявляемые к управляющему многоквартирным жилым домом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2020 года № 169. Зарегистрирован в Министерстве юстиции Республики Казахстан 6 апреля 2020 года № 20315. Утратил сиу приказом Министра промышленности и строительства Республики Казахстан от 25 августа 2025 года №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 жилищных отношениях",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19.01.2024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управляющему многоквартирным жилым домом.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169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управляющему многоквартирным жилым домом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предъявляются к управляющему многоквартирным жилым домом, и включает в себя следующие требования: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среднее профессиональное, высшее или послевузовское образование по специальностям: право, социальные науки, экономика и бизнес, гуманитарные науки, технические науки и технологии;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действующего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 и акты государственных органов, регламентирующие производственно-хозяйственную, финансово-экономическую и жилищно-коммунальную деятельность);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навыки оперативного принятия и реализации управленческих решений, планирования работы и контроля, ведения деловых переговоров, публичных выступлений, анализа и прогнозирования последствий принимаемых управленческих решений, организации работы по взаимодействию с государственными органами и поставщиками коммунальных услуг, практического применения нормативных правовых актов, разработки организационно-распорядительных документов, работы со служебными документами, владения компьютерной и другой организационной техникой, а также отвечать требованиям профессионального стандарта "Управление жилыми и нежилыми зданиями";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прошедшего обучение или самостоятельную подготовку и получившего документ, подтверждающий квалификацию на осуществление функций по управлению объектом кондоминиума, выданный центром признания профессиональной квалификации, прошедшим аккредитацию в порядке, установленном законодательством Республики Казахстан об аккредитации в области оценки соответствия.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19.01.2024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и.о. Министра промышленности и строительства РК от 11.06.2024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