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8ee3b" w14:textId="388ee3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выбора внешних управляющих активами Национального фонда Республики Казахстан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19 марта 2020 года № 29. Зарегистрировано в Министерстве юстиции Республики Казахстан 31 марта 2020 года № 20243. Утратило силу постановлением Правления Национального Банка РК от 30.06.2026 № 77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Правления Национального Банка РК от 30.06.2026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30 марта 1995 года "О Национальном Банке Республики Казахстан" Правление Национального Банка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выбора внешних управляющих активами Национального фонда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Республики Казахстан от 30 мая 2016 года № 126 "Об утверждении Правил выбора внешних управляющих активами Национального фонда Республики Казахстан" (зарегистрировано в Реестре государственной регистрации нормативных правовых актов под № 13915, опубликовано 30 июля 2016 года в Эталонном контрольном банке нормативных правовых актов).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монетарных операций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государственную регистрацию настоящего постановления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мероприятий, предусмотренных подпунктом 2) настоящего пункта и пунктом 4 настоящего постановления.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Департаменту информации и коммуникаций – пресс-службе Национального Банка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Национального Банка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Досаев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марта 2020 года № 29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выбора внешних управляющих активами Национального фонда Республики Казахстан</w:t>
      </w:r>
    </w:p>
    <w:bookmarkEnd w:id="10"/>
    <w:bookmarkStart w:name="z1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выбора внешних управляющих активами Национального фонда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30 марта 1995 года  "О Национальном Банке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осуществления инвестиционных операций Национального фонда Республики Казахстан, утвержденными постановлением Правления Национального Банка Республики Казахстан от 25 июля 2006 года № 65 (зарегистрировано в Реестре государственной регистрации нормативных правовых актов под № 4361) (далее – Правила осуществления инвестиционных операций Фонда) и определяют порядок выбора внешних управляющих активами Национального фонда Республики Казахстан (далее – Фонд).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понятия: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усовершенствованное индексное управление активами – вид управления, при котором значение изменчивости отклонения доходности (tracking error) составляет от 0,5 (ноль целых пять десятых) до 2 (два) процентов включительно. При усовершенствованном индексном управлении предполагается умеренное отклонение от основных показателей эталонного портфеля;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информационный коэффициент (information ratio) – отношение уровня сверхдоходности к изменчивости отклонения доходности (tracking error);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специализированная система – программное обеспечение и (или) специальный интернет-ресурс, располагающий базой инвестиционных и (или) аналитических данных, необходимой для анализа деятельности внешних управляющих; 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специализированный мандат – мандат, передаваемый во внешнее управление с целью диверсификации активов путем применения стратегий инвестирования, предполагающих уникальные инвестиционные подходы на уровне отдельных классов активов, видов управления, стран и регионов;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диверсификация – размещение активов в финансовые инструменты и иное имущество с целью снижения риска, присущего для конкретного класса активов;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альтернативные инструменты – классы активов, предназначенные для повышения доходности в долгосрочной перспективе (акции развивающихся рынков (Emerging Market equities), высокодоходные облигации (High Yield Bonds), продукты абсолютной доходности (Absolute Return), хедж-фонды (Hedge Funds), фонды хедж-фондов (Fund of Hedge Funds) и Фонды фондов (Fund of Funds), частный капитал (Private Equity), ценные бумаги с повышенным риском (Distressed Securities), инвестиции в недвижимость (Real Estate), инфраструктурные инвестиции (Infrastructure), прямые инвестиции (Strategic investments and co-investments);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биржевой рынок – совокупность отношений с использованием торговых систем организатора торгов, который осуществляет организационное и техническое обеспечение торгов;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глобальный мандат – портфель, инвестиции которого выходят за пределы одной страны (рынка, региона);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инвестиционный дью-дилидженс – комплекс аналитических мероприятий, направленных на всестороннюю проверку и оценку эффективности инвестиционной деятельности внешнего управляющего; 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институциональный инвестор – юридическое лицо, осуществляющее инвестирование денег в финансовые инструменты;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активы на консультационном обслуживании – активы, находящиеся в управлении внешнего управляющего, по которым внешний управляющий консультирует клиента в части инвестиционного управления активами;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мандат – портфель с определенными инвестиционными характеристиками;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маржевой счет – счет для проведения операций с производными финансовыми инструментами, открываемый в клиринговой организации и используемый в целях размещения обеспечения по сделкам и проведения расчетов по операциям с производными финансовыми инструментами;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операционный дью-дилидженс – комплекс аналитических мероприятий, направленных на всестороннюю проверку и оценку эффективности операционной деятельности внешнего управляющего; 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региональный мандат – портфель, инвестиции которого сосредоточены в пределах одной страны (рынка, региона);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портфельный менеджер – лицо, отвечающее за управление активами клиентов;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внешний управляющий – созданный в соответствии с законодательством иностранного государства банк или организация, специализирующийся на инвестиционном управлении активами клиентов и осуществляющий свою деятельность на международных финансовых рынках; 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внешнее транзитное управление – тип управления активами, при котором активы передаются внешнему транзитному управляющему с целью минимизации рисков в связи с изменениями в структуре передаваемых активов до выбора и (или) передачи активов внешнему управляющему по соответствующему мандату;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внешний транзитный управляющий – созданный в соответствии с законодательством иностранного государства банк или организация, специализирующийся на внешнем транзитном управлении активов клиентов и осуществляющий свою деятельность на международных финансовых рынках;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транзитный период – временной период, применяемый к портфелю, устанавливаемый в соответствии с Правилами в целях приведения его в соответствие с параметрами, установленными Правилами осуществления инвестиционных операций Фонда;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уполномоченное подразделение – подразделение Национального Банка, осуществляющее управление и мониторинг активов Фонда;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руководство Национального Банка – Председатель Национального Банка, заместитель Председателя Национального Банка, курирующий уполномоченное подразделение;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уровень сверхдоходности – разница между фактически достигнутым уровнем доходности и уровнем доходности эталонного портфеля;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форексные операции – покупка и (или) продажа иностранной валюты на биржевом и внебиржевом рынках.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Правила не определяют порядок выбора управляющих портфелем альтернативных инструментов. 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Общий допустимый объем активов Фонда, передаваемых во внешнее управление одному внешнему управляющему, составляет не более 10 (десять) процентов от объема сберегательного портфеля Фонда.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При превышении лимита, предусмотренного пунктом 4 Правил, в том числе в случае слияния двух действующих внешних управляющих уполномоченное подразделение устраняет несоответствие в течение 3 (трех) месяцев со дня его возникновения такого превышения.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Активы Фонда передаются во внешнее управление в целях: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снижения уровня рисков, связанных с видами управления;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увеличения доходности управления активами Фонда за счет использования опыта, аналитических материалов, исследований и технических ресурсов внешнего управляющего;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повышения эффективности управления активами Фонда за счет применения экспертизы и консультаций в области управления активами, полученных от внешних управляющих;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внедрения новых классов активов, по которым отсутствует опыт в самостоятельном управлении активами.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Выбор вида управления (активного, усовершенствованного индексного или пассивного (индексного)) и эталонного портфеля для внешнего управляющего осуществляется в соответствии с целями управления активами Фонда и ограничениями, предусмотренными Правилами осуществления инвестиционных операций Фонда, в зависимости от ситуации на рынке. 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Внешнему управляющему или внешнему транзитному управляющему выплачивается фиксированное комиссионное вознаграждение и (или) комиссионное вознаграждение, зависящее от результатов управления, в соответствии с соглашением о передаче активов Фонда во внешнее управление или соглашением о передаче активов Фонда во внешнее транзитное управление.</w:t>
      </w:r>
    </w:p>
    <w:bookmarkEnd w:id="47"/>
    <w:bookmarkStart w:name="z54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выбора внешних управляющих активами Фонда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Организация процедуры выбора внешних управляющих проводится уполномоченным подразделением. 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Уполномоченное подразделение публикует на официальном интернет-ресурсе Национального Банка, а также на иных информационно-аналитических ресурсах, доступных для потенциальных внешних управляющих, информацию о планируемом выборе внешнего управляющего, составляет список потенциальных внешних управляющих, рассылает информацию потенциальным внешним управляющим. 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Обязательным условием рассмотрения предложения потенциального внешнего управляющего является его согласие на включение условий,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25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в соглашение о передаче активов Фонда во внешнее управление.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Потенциальный внешний управляющий представляет в Национальный Банк в электронном виде и (или) на бумажном носителе минимальную информацию, запрашиваемую у потенциального внешнего управляющего,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 Допускается получение информации уполномоченным подразделением из специализированной системы. 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Уполномоченное подразделение осуществляет сравнительный анализ всех поступивших предложений потенциальных внешних управляющих с учетом обязательных критериев, предусмотренных пунктами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(или)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потенциальный внешний управляющий соответствует обязательным критериям, предусмотренным в пунктах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(или)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уполномоченное подразделение осуществляет сравнительный анализ предложений потенциальных внешних управляющих в соответствии с оценочными критериями для осуществления сравнительного анализа предложений потенциальных внешних управляющих (далее – Оценочные критерии)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для формирования длинного списка потенциальных внешних управляющих (далее – длинный список). 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сравнительного анализа предложений потенциальных внешних управляющих допускается использование собственных данных Национального Банка по действующим внешним управляющим золотовалютными активами Национального Банка и активами, находящимися в доверительном управлении Национального Банка.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уточнения информации, представленной потенциальным внешним управляющим, допускается направление уполномоченным подразделением дополнительных запросов такому потенциальному внешнему управляющему. В случае непредставления потенциальным внешним управляющим дополнительно запрашиваемой информации балл по соответствующему критерию в Оценочных критериях не учитывается. 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Для выбора внешних управляющих по глобальным мандатам обязательными критериями являются: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опыт работы с финансовыми инструментами, в которые предполагается инвестировать активы Фонда – не менее 10 (десяти) лет, из которых не менее 5 (пяти) лет опыта работы по объявленному мандату, либо если потенциальный внешний управляющий имеет под управлением исключительно аналогичные региональные мандаты – не менее 5 (пяти) лет опыта работы по региональным мандатам, которые составляют не менее 75 (семьдесят пять) процентов охвата глобального мандата.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исчисление опыта работы потенциального внешнего управляющего с учетом опыта работы юридических лиц, находящихся с потенциальным внешним управляющим под управленческим контролем одного лица;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совокупный размер активов клиентов, имеющихся под управлением у потенциального внешнего управляющего (в том числе активы на консультационном обслуживании) – не менее эквивалента 25 (двадцать пять) миллиардов долларов США;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совокупный размер активов клиентов по рассматриваемому мандату, имеющихся под управлением у потенциального внешнего управляющего – не менее эквивалента 1 (один) миллиарда долларов США либо если потенциальный внешний управляющий имеет под управлением исключительно аналогичные региональные мандаты – не менее эквивалента 1 (один) миллиарда долларов США по региональным мандатам, которые составляют не менее 75 (семьдесят пять) процентов охвата глобального мандата.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Для выбора внешних управляющих по специализированным мандатам обязательными критериями являются: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опыт работы потенциального внешнего управляющего с финансовыми инструментами, в которые предполагается инвестировать активы Фонда – не менее 5 (пяти) лет, из которых не менее 3 (трех) лет опыта работы по объявленному мандату, либо если потенциальный внешний управляющий имеет под управлением исключительно аналогичные региональные мандаты – не менее 3 (трех) лет опыта работы по региональным мандатам, которые составляют не менее 75 (семьдесят пять) процентов охвата глобального мандата. 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исчисление опыта работы потенциального внешнего управляющего с учетом опыта работы юридических лиц, находящихся с потенциальным внешним управляющим под управленческим контролем одного лица;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совокупный размер активов клиентов, имеющихся под управлением у потенциального внешнего управляющего (в том числе активы на консультационном обслуживании) – не менее эквивалента 1 (один) миллиарда долларов США;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совокупный размер активов клиентов по рассматриваемому мандату, имеющихся под управлением у потенциального внешнего управляющего – не менее эквивалента 150 (сто пятьдесят) миллионов долларов США.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объем активов, передаваемых одному внешнему управляющему, не превышает 50 (пятьдесят) процентов от объема активов в инвестиционном управлении по рассматриваемому мандату, имеющихся под управлением такого внешнего управляющего. 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Допускается обращение уполномоченного подразделения к клиентам потенциального внешнего управляющего с запросом о результатах и качестве управления активами клиентов. 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Подготовленное уполномоченным подразделением заключение по длинному списку, содержащее сравнительный анализ предложений потенциальных внешних управляющих и рекомендации по их выбору, представляется на рассмотрение Полномочному представителю или Председателю Национального Банка, который по результатам рассмотрения одобряет короткий список потенциальных внешних управляющих с наиболее выгодными предложениями (далее – короткий список) путем наложения резолюции к заключению уполномоченного подразделения.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Уполномоченное подразделение проводит переговоры с потенциальными внешними управляющими из короткого списка для целей улучшения условий предложений внешних управляющих.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Уполномоченное подразделение проводит дополнительную оценку предложений потенциальных внешних управляющих из короткого списка согласно оценочным критериям для осуществления сравнительного анализа предложений потенциальных внешних управляющих из короткого списка в рамках инвестиционного и операционного дью-дилидженса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постановления Правления Национального Банка РК от 21.12.2020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При проведении инвестиционного и операционного дью-дилидженса для получения дополнительной информации о порядке принятия инвестиционных решений и процедурах контроля за рисками допускается проведение уполномоченным подразделением встреч с потенциальными внешними управляющими и посещение их офисов.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 случае, если потенциальный внешний управляющий, ранее не состоявший в договорных отношениях с Национальным Банком, предлагается для выбора в качестве внешнего управляющего, посещение его офиса является обязательным. 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Решение о выборе внешних управляющих принимается Правлением Национального Банка.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случаях перехода правопреемнику внешнего управляющего прав и обязанностей, вытекающих из соглашения о передаче активов Фонда во внешнее управление, в связи с реорганизацией данного внешнего управляющего, а также в случаях передачи внешним управляющим своих прав и обязанностей, вытекающих из соглашения о передаче активов Фонда во внешнее управление, другому юридическому лицу (компании), выбор указанных лиц в качестве внешнего управляющего осуществляется без проведения процедур,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пунктами 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Если внешний управляющий, осуществляющий внешнее управление частью золотовалютных активов Национального Банка и (или) пенсионными активами единого накопительного пенсионного фонда по аналогичному мандату с положительным уровнем сверхдоходности за период не менее 3 (трех) лет, соответствует критериям,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пунктами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 (или)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Правил, то по решению Председателя Национального Банка либо Полномочного представителя, его кандидатура выносится на рассмотрение Правления Национального Банка в качестве внешнего управляющего без проведения процедур, предусмотренных пунктами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Для снижения рисков концентрации активов во внешнем управлении в рамках одного мандата (но не одного вида управления) количество действующих внешних управляющих составляет не менее 2 (двух) внешних управляющих.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В целях ускорения процесса выбора внешних управляющих, замены действующих внешних управляющих и повышения конкуренции среди внешних управляющих допускается формирование уполномоченным подразделением резервного списка потенциальных внешних управляющих (далее – резервный список) из числа потенциальных внешних управляющих из короткого списка для последующего утверждения Правлением Национального Банка. 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Уполномоченное подразделение проводит мониторинг деятельности внешних управляющих, состоящих в резервном списке, и ежегодно обновляет информацию в рамках инвестиционного и операционного дью-дилидженса. 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Передача активов Фонда внешнему управляющему из утвержденного резервного списка осуществляется после принятия решения Правлением Национального Банка о его выборе в качестве внешнего управляющего без проведения процедур, предусмотренных пунктами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Мероприятия, связанные с заключением соглашения о передаче активов Фонда во внешнее управление, и дальнейший мониторинг выполнения его условий осуществляются уполномоченным подразделением. </w:t>
      </w:r>
    </w:p>
    <w:bookmarkEnd w:id="81"/>
    <w:bookmarkStart w:name="z8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Соглашение о передаче активов Фонда во внешнее управление содержит следующие условия:</w:t>
      </w:r>
    </w:p>
    <w:bookmarkEnd w:id="82"/>
    <w:bookmarkStart w:name="z8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наличии права Национального Банка досрочно расторгнуть соглашение о передаче активов Фонда во внешнее управление в следующих случаях:</w:t>
      </w:r>
    </w:p>
    <w:bookmarkEnd w:id="83"/>
    <w:bookmarkStart w:name="z9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недостижения внешним управляющим сверхдоходности по управлению портфелем в сравнении с эталонным портфелем;</w:t>
      </w:r>
    </w:p>
    <w:bookmarkEnd w:id="84"/>
    <w:bookmarkStart w:name="z9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нарушения внешним управляющим ограничений, установленных Правилами осуществления инвестиционных операций Фонда;</w:t>
      </w:r>
    </w:p>
    <w:bookmarkEnd w:id="85"/>
    <w:bookmarkStart w:name="z9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внесения изменений в Правила осуществления инвестиционных операций Фонда; </w:t>
      </w:r>
    </w:p>
    <w:bookmarkEnd w:id="86"/>
    <w:bookmarkStart w:name="z9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наличия постановления Правления Национального Банка или решения Полномочного представителя с представлением письменного уведомления внешнему управляющему и указанием даты расторжения соглашения о передаче активов Фонда во внешнее управление;</w:t>
      </w:r>
    </w:p>
    <w:bookmarkEnd w:id="87"/>
    <w:bookmarkStart w:name="z9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наличии права Национального Банка по своему усмотрению в любое время пополнять (отзывать) активы Фонда, находящиеся во внешнем управлении;</w:t>
      </w:r>
    </w:p>
    <w:bookmarkEnd w:id="88"/>
    <w:bookmarkStart w:name="z9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представлении внешним управляющим информации о передвижении его персонала, ответственного за управление активами Фонда, переданными во внешнее управление;</w:t>
      </w:r>
    </w:p>
    <w:bookmarkEnd w:id="89"/>
    <w:bookmarkStart w:name="z9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 посещении внешнего управляющего работниками Национального Банка и независимыми аудиторами для целей проверки операций по счету, а также получении дополнительной информации о внешнем управляющем, порядке принятия инвестиционных решений и процедурах мониторинга за рисками; </w:t>
      </w:r>
    </w:p>
    <w:bookmarkEnd w:id="90"/>
    <w:bookmarkStart w:name="z9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 запрете на привлечение в качестве брокеров или контрпартнеров по сделкам с активами Фонда, переданными во внешнее управление, аффилированных с внешним управляющим лиц;</w:t>
      </w:r>
    </w:p>
    <w:bookmarkEnd w:id="91"/>
    <w:bookmarkStart w:name="z9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 ответственности внешнего управляющего за нарушение лимита ожидаемой изменчивости отклонения доходности (ex-ante tracking error), установленного Правилами осуществления инвестиционных операций Фонда;</w:t>
      </w:r>
    </w:p>
    <w:bookmarkEnd w:id="92"/>
    <w:bookmarkStart w:name="z9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 ответственности внешнего управляющего за возможные убытки, причиненные Фонду вследствие небрежности, преднамеренного невыполнения обязательств или мошенничества со стороны внешнего управляющего;</w:t>
      </w:r>
    </w:p>
    <w:bookmarkEnd w:id="93"/>
    <w:bookmarkStart w:name="z10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 обязанности внешнего управляющего консультировать, обучать или проводить стажировку работников Национального Банка, осуществляющих управление и мониторинг активов Фонда;</w:t>
      </w:r>
    </w:p>
    <w:bookmarkEnd w:id="94"/>
    <w:bookmarkStart w:name="z10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 обязанности внешнего управляющего представлять в Национальный Банк на регулярной основе в соответствии с соглашением о передаче активов Фонда во внешнее управление следующих отчетностей:</w:t>
      </w:r>
    </w:p>
    <w:bookmarkEnd w:id="95"/>
    <w:bookmarkStart w:name="z10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отчетность по совершенным за предыдущий рабочий день операциям на ежедневной основе;</w:t>
      </w:r>
    </w:p>
    <w:bookmarkEnd w:id="96"/>
    <w:bookmarkStart w:name="z10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портфеля (распределение активов по различным классам и видам валют, состав портфеля на конец отчетного месяца, рыночная стоимость активов на конец отчетного месяца);</w:t>
      </w:r>
    </w:p>
    <w:bookmarkEnd w:id="97"/>
    <w:bookmarkStart w:name="z10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движения в портфеле (перечень всех заключенных за отчетный квартал сделок, отсортированные по различным классам и валютам, сроку погашения, выплате дивидендов и накопленным процентам);</w:t>
      </w:r>
    </w:p>
    <w:bookmarkEnd w:id="98"/>
    <w:bookmarkStart w:name="z10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 результатов управления портфелем (ежемесячные, квартальные и общие результаты управления портфелем в разрезе достигнутой доходности, показателей риска портфеля и уровня изменчивости отклонения доходности (tracking error) в сравнении с эталонным портфелем);</w:t>
      </w:r>
    </w:p>
    <w:bookmarkEnd w:id="99"/>
    <w:bookmarkStart w:name="z10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отчет о состоянии соответствующих рынков и их влиянии на портфель и (или) макроэкономический обзор; </w:t>
      </w:r>
    </w:p>
    <w:bookmarkEnd w:id="100"/>
    <w:bookmarkStart w:name="z10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стратегии и объяснение наиболее важных изменений в структуре портфеля;</w:t>
      </w:r>
    </w:p>
    <w:bookmarkEnd w:id="101"/>
    <w:bookmarkStart w:name="z10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текущая стратегия инвестирования;</w:t>
      </w:r>
    </w:p>
    <w:bookmarkEnd w:id="102"/>
    <w:bookmarkStart w:name="z10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вклад различных факторов в доходность портфеля для активного управления активами;</w:t>
      </w:r>
    </w:p>
    <w:bookmarkEnd w:id="103"/>
    <w:bookmarkStart w:name="z11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об осуществлении внешним управляющим на конец каждого месяца или на дату завершения транзитного периода, сверки состава портфеля, переданного во внешнее управление, с данными банка (банков)-кастодиана (кастодианов) в соответствии с соглашением о передаче активов Фонда во внешнее управление; </w:t>
      </w:r>
    </w:p>
    <w:bookmarkEnd w:id="104"/>
    <w:bookmarkStart w:name="z11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 представлении внешним управляющим информации о проведенных операциях банку-кастодиану, ответственному за консолидированный учет, не позднее следующего рабочего дня после согласования и завершения процедур подтверждения сделок между внешним управляющим и брокером;</w:t>
      </w:r>
    </w:p>
    <w:bookmarkEnd w:id="105"/>
    <w:bookmarkStart w:name="z11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 представлении внешним управляющим информации, документов о процедурах утверждения брокеров, а также агентов и контрпартнеров внешнего управляющего;</w:t>
      </w:r>
    </w:p>
    <w:bookmarkEnd w:id="106"/>
    <w:bookmarkStart w:name="z11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о представлении внешним управляющим информации о наличии внутренних политик и процедур управления рисками внешнего управляющего, снижающих риск злоупотреблений и конфликта интересов, в том числе обеспечивающих равноправное распределение сделок среди портфелей клиентов; </w:t>
      </w:r>
    </w:p>
    <w:bookmarkEnd w:id="107"/>
    <w:bookmarkStart w:name="z11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о проведении внешним управляющим с периодичностью один раз в год встреч с уполномоченным подразделением для представления результатов управления активами Фонда, о соблюдении инвестиционных ограничений, оценке рыночной ситуации и ее возможном влиянии на портфель и на осуществление инвестиционных операций с активами Фонда;</w:t>
      </w:r>
    </w:p>
    <w:bookmarkEnd w:id="108"/>
    <w:bookmarkStart w:name="z11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 представлении внешним управляющим информации по примененным надзорными органами мерам и участию в судебных разбирательствах;</w:t>
      </w:r>
    </w:p>
    <w:bookmarkEnd w:id="109"/>
    <w:bookmarkStart w:name="z11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о представлении внешним управляющим в Национальный Банк сверенной с банком (банками)-кастодианом (кастодианами) полной отчетности по портфелю на дату расторжения соглашения о передаче активов Фонда во внешнее управление;</w:t>
      </w:r>
    </w:p>
    <w:bookmarkEnd w:id="110"/>
    <w:bookmarkStart w:name="z11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 подписании соглашения о передаче активов Фонда во внешнее управление на казахском, русском языках и на языке, определенном по согласованию сторон;</w:t>
      </w:r>
    </w:p>
    <w:bookmarkEnd w:id="111"/>
    <w:bookmarkStart w:name="z11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о возможности внесения изменений и (или) дополнений в соглашение о передаче активов Фонда во внешнее управление с письменного согласия обеих сторон.</w:t>
      </w:r>
    </w:p>
    <w:bookmarkEnd w:id="112"/>
    <w:bookmarkStart w:name="z11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Национальный Банк в соответствии с соглашением о передаче активов Фонда во внешнее управление осуществляет передачу активов Фонда во внешнее управление путем перевода денег и (или) ценных бумаг на счета Национального Банка у банка (банков)-кастодиана (кастодианов), предназначенные для внешнего управления. </w:t>
      </w:r>
    </w:p>
    <w:bookmarkEnd w:id="113"/>
    <w:bookmarkStart w:name="z12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При передаче активов Фонда во внешнее управление учитывается транзитный период для формирования портфеля в соответствии с целевыми параметрами, установленными Национальным Банком. Длительность транзитного периода не превышает 15 (пятнадцать) рабочих дней.</w:t>
      </w:r>
    </w:p>
    <w:bookmarkEnd w:id="114"/>
    <w:bookmarkStart w:name="z12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Активы Фонда, передаваемые во внешнее управление, хранятся на счетах Национального Банка в банке (банках)-кастодиане (кастодинах) и на маржевом счете у клирингового брокера. </w:t>
      </w:r>
    </w:p>
    <w:bookmarkEnd w:id="115"/>
    <w:bookmarkStart w:name="z12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Со дня передачи активов Фонда во внешнее управление уполномоченное подразделение проводит ежедневный мониторинг деятельности внешнего управляющего путем проверки соблюдения ограничений, установленных в соглашении о передаче активов Фонда во внешнее управление, осуществления мониторинга сделок, совершаемых внешним управляющим, оценки показателей риска и доходности портфеля во внешнем управлении.</w:t>
      </w:r>
    </w:p>
    <w:bookmarkEnd w:id="116"/>
    <w:bookmarkStart w:name="z12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Уполномоченное подразделение в соответствии с соглашением о передаче активов Фонда во внешнее управление не реже, чем один раз в год проводит встречу с внешним управляющим или организует видео или телеконференцию, на которой внешний управляющий отчитывается о результатах управления, о соблюдении инвестиционных ограничений, дает оценку рыночной ситуации и ее возможном влиянии на портфель и на осуществление инвестиционных операций с активами Фонда.</w:t>
      </w:r>
    </w:p>
    <w:bookmarkEnd w:id="117"/>
    <w:bookmarkStart w:name="z12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Оценка эффективности работы действующих внешних управляющих осуществляется на основе методики оценки эффективности работы внешнего управляющего, приведенной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 По результатам проведенной оценки эффективности работы внешнего управляющего в целом и по классам активов за последние 3 (три), 5 (пять) лет и более со дня начала управления с учетом взимаемого комиссионного вознаграждения, руководством Национального Банка принимается соответствующее решение о пополнении (изъятии) активов Фонда или продолжении (прекращении) работы с данным внешним управляющим, либо вынесении данного вопроса на рассмотрение Правления Национального Банка. </w:t>
      </w:r>
    </w:p>
    <w:bookmarkEnd w:id="118"/>
    <w:bookmarkStart w:name="z12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По решению руководства Национального Банка изъятие активов Фонда или досрочное расторжение соглашения о передаче активов Фонда во внешнее управление с внешним управляющим проводится без процедуры, указанной в </w:t>
      </w:r>
      <w:r>
        <w:rPr>
          <w:rFonts w:ascii="Times New Roman"/>
          <w:b w:val="false"/>
          <w:i w:val="false"/>
          <w:color w:val="000000"/>
          <w:sz w:val="28"/>
        </w:rPr>
        <w:t>пункте 31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Правил.</w:t>
      </w:r>
    </w:p>
    <w:bookmarkEnd w:id="119"/>
    <w:bookmarkStart w:name="z12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Отчет о результатах управления внешних управляющих выносится уполномоченным подразделением на рассмотрение Правления Национального Банка не реже, чем один раз в год.</w:t>
      </w:r>
    </w:p>
    <w:bookmarkEnd w:id="120"/>
    <w:bookmarkStart w:name="z127" w:id="1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выбора внешнего транзитного управляющего активов Фонда</w:t>
      </w:r>
    </w:p>
    <w:bookmarkEnd w:id="121"/>
    <w:bookmarkStart w:name="z12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Для выбора внешнего транзитного управляющего, уполномоченное подразделение направляет запрос потенциальным транзитным управляющим о представлении информации по рынкам охвата, стратегиям транзитного управления и стоимости услуг в разрезе классов инструментов и рынков и проводит анализ поступивших предложений.</w:t>
      </w:r>
    </w:p>
    <w:bookmarkEnd w:id="122"/>
    <w:bookmarkStart w:name="z12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35. Решение о выборе внешнего транзитного управляющего принимается Председателем Национального Банка или Полномочным представителем. </w:t>
      </w:r>
    </w:p>
    <w:bookmarkEnd w:id="123"/>
    <w:bookmarkStart w:name="z13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Мероприятия, связанные с заключением соглашения о передаче активов Фонда во внешнее транзитное управление, и дальнейшим мониторингом за выполнением его условий осуществляются уполномоченным подразделением.</w:t>
      </w:r>
    </w:p>
    <w:bookmarkEnd w:id="124"/>
    <w:bookmarkStart w:name="z13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Соглашение о передаче активов Фонда во внешнее транзитное управление содержит следующие условия:</w:t>
      </w:r>
    </w:p>
    <w:bookmarkEnd w:id="125"/>
    <w:bookmarkStart w:name="z13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 наличии права Национального Банка досрочно расторгнуть соглашение о передаче активов Фонда во внешнее транзитное управление в следующих случаях:</w:t>
      </w:r>
    </w:p>
    <w:bookmarkEnd w:id="126"/>
    <w:bookmarkStart w:name="z13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нарушения внешним транзитным управляющим условий соглашения о передаче активов Фонда во внешнее транзитное управление;</w:t>
      </w:r>
    </w:p>
    <w:bookmarkEnd w:id="127"/>
    <w:bookmarkStart w:name="z13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решения Председателя Национального Банка или Полномочного представителя;</w:t>
      </w:r>
    </w:p>
    <w:bookmarkEnd w:id="128"/>
    <w:bookmarkStart w:name="z13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наличии права Национального Банка по своему усмотрению в любое время пополнять (отзывать) активы Фонда, находящиеся во внешнем транзитном управлении, если такие действия не затрагивают любое незавершенное внешнее транзитное управление активов Фонда;</w:t>
      </w:r>
    </w:p>
    <w:bookmarkEnd w:id="129"/>
    <w:bookmarkStart w:name="z136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 представлении внешним управляющим информации о передвижении его персонала, ответственного за управление активами Фонда, переданными во внешнее транзитное управление;</w:t>
      </w:r>
    </w:p>
    <w:bookmarkEnd w:id="130"/>
    <w:bookmarkStart w:name="z13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 посещении внешнего транзитного управляющего работниками Национального Банка и независимыми аудиторами для целей проверки операций по счету, а также получении дополнительной информации о внешнем транзитном управляющем, порядке принятия инвестиционных решений и процедурах мониторинга за рисками; </w:t>
      </w:r>
    </w:p>
    <w:bookmarkEnd w:id="131"/>
    <w:bookmarkStart w:name="z13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 ответственности внешнего транзитного управляющего за возможные убытки, причиненные вследствие небрежности, преднамеренного невыполнения обязательств или мошенничества со стороны внешнего транзитного управляющего;</w:t>
      </w:r>
    </w:p>
    <w:bookmarkEnd w:id="132"/>
    <w:bookmarkStart w:name="z13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 представлении внешним транзитным управляющим информации о проведенных операциях банку-кастодиану, ответственному за консолидированный учет, не позднее следующего рабочего дня после согласования и завершения процедур подтверждения сделок между внешним транзитным управляющим и брокером;</w:t>
      </w:r>
    </w:p>
    <w:bookmarkEnd w:id="133"/>
    <w:bookmarkStart w:name="z14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о представлении внешним транзитным управляющим информации, документов о процедурах утверждения брокеров, а также агентов и контрпартнеров внешнего транзитного управляющего; </w:t>
      </w:r>
    </w:p>
    <w:bookmarkEnd w:id="134"/>
    <w:bookmarkStart w:name="z14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о представлении внешним транзитным управляющим информации о наличии внутренних политик и процедур управления рисками внешнего транзитного управляющего, снижающих риск злоупотреблений и конфликта интересов, в том числе обеспечивающих равноправное распределение сделок среди портфелей клиентов; </w:t>
      </w:r>
    </w:p>
    <w:bookmarkEnd w:id="135"/>
    <w:bookmarkStart w:name="z14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об обязанности внешнего транзитного управляющего представлять в Национальный Банк в соответствии с соглашением о передаче активов Фонда во внешнее транзитное управление в течение 10 (десяти) рабочих дней после завершения транзитного периода следующих отчетностей:</w:t>
      </w:r>
    </w:p>
    <w:bookmarkEnd w:id="136"/>
    <w:bookmarkStart w:name="z14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отчетность по всем сделкам с ценными бумагами, совершенным внешним транзитным управляющим и его аффилированными брокерами (дилерами) и брокерами по фьючерсным сделкам в течение транзитного периода;</w:t>
      </w:r>
    </w:p>
    <w:bookmarkEnd w:id="137"/>
    <w:bookmarkStart w:name="z14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 результатах выполнения внешнего транзитного управления активами Фонда, включая разницу в стоимости исполнения сделки, комиссионное вознаграждение брокеров, влияние рынка, разницу курсов покупки и продажи валюты по форексным операциям, налоги и упущенную выгоду на дату завершения транзитного периода;</w:t>
      </w:r>
    </w:p>
    <w:bookmarkEnd w:id="138"/>
    <w:bookmarkStart w:name="z14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 о состоянии соответствующих рынков и их влиянии на портфель;</w:t>
      </w:r>
    </w:p>
    <w:bookmarkEnd w:id="139"/>
    <w:bookmarkStart w:name="z14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обзор стратегии и объяснение наиболее важных изменений в структуре портфеля;</w:t>
      </w:r>
    </w:p>
    <w:bookmarkEnd w:id="140"/>
    <w:bookmarkStart w:name="z14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 представлении внешним транзитным управляющим информации по примененным надзорными органами мерам и участию в судебных разбирательствах;</w:t>
      </w:r>
    </w:p>
    <w:bookmarkEnd w:id="141"/>
    <w:bookmarkStart w:name="z14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 представлении внешним транзитным управляющим на момент завершения транзитного периода сверенной с банком (банками)-кастодианом (кастодианами) полной отчетности по портфелю на дату завершения транзитного периода в соответствии с соглашением о передаче активов Фонда во внешнее транзитное управление;</w:t>
      </w:r>
    </w:p>
    <w:bookmarkEnd w:id="142"/>
    <w:bookmarkStart w:name="z14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 подписании соглашения о передаче активов Фонда во внешнее транзитное управление на казахском, русском языках и на языке, определенном по согласованию сторон;</w:t>
      </w:r>
    </w:p>
    <w:bookmarkEnd w:id="143"/>
    <w:bookmarkStart w:name="z15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о возможности внесения изменений и (или) дополнений в соглашение о передаче активов Фонда во внешнее транзитное управление с письменного согласия обеих сторон.</w:t>
      </w:r>
    </w:p>
    <w:bookmarkEnd w:id="144"/>
    <w:bookmarkStart w:name="z15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Национальный Банк в соответствии с соглашением о передаче активов Фонда во внешнее транзитное управление осуществляет передачу активов Фонда во внешнее транзитное управление путем перевода денег и (или) ценных бумаг на счета Национального Банка у банка (банков)-кастодиана (кастодианов), предназначенные для внешнего транзитного управления. </w:t>
      </w:r>
    </w:p>
    <w:bookmarkEnd w:id="145"/>
    <w:bookmarkStart w:name="z15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Передача активов Фонда внешнему транзитному управляющему осуществляется на срок не более 12 (двенадцати) месяцев.</w:t>
      </w:r>
    </w:p>
    <w:bookmarkEnd w:id="146"/>
    <w:bookmarkStart w:name="z15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При передаче активов Фонда во внешнее транзитное управление учитывается транзитный период для формирования портфеля в соответствии с целевыми параметрами, установленными Национальным Банком. Длительность транзитного периода не превышает 15 (пятнадцать) рабочих дней.</w:t>
      </w:r>
    </w:p>
    <w:bookmarkEnd w:id="147"/>
    <w:bookmarkStart w:name="z15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Активы Фонда, передаваемые во внешнее транзитное управление, хранятся на счетах Национального Банка в банке (банках)-кастодиане (кастодинах) и на маржевом счете у клирингового брокера. Допускается размещение активов Фонда на маржевом счете внешнего транзитного управляющего, открытом у третьего лица, при наличии соглашения между Национальным Банком и внешним транзитным управляющим об условиях проведения операций по такому счету или условий проведения операций по такому счету в соглашении о передаче активов Фонда во внешнее транзитное управление.</w:t>
      </w:r>
    </w:p>
    <w:bookmarkEnd w:id="148"/>
    <w:bookmarkStart w:name="z15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Со дня передачи активов Фонда во внешнее транзитное управление уполномоченное подразделение проводит ежедневный мониторинг деятельности внешнего транзитного управляющего путем проверки соблюдения ограничений, установленных в соглашении о передаче активов Фонда во внешнее транзитное управление, осуществления мониторинга сделок, совершаемых внешним транзитным управляющим.</w:t>
      </w:r>
    </w:p>
    <w:bookmarkEnd w:id="1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внешних управляющих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активами Национального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Минимальная информация,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запрашиваемая 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потенциального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внешнего управляющего</w:t>
            </w:r>
          </w:p>
        </w:tc>
      </w:tr>
    </w:tbl>
    <w:bookmarkStart w:name="z15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Опыт работы потенциального внешнего управляющего по рассматриваемому типу мандата.</w:t>
      </w:r>
    </w:p>
    <w:bookmarkEnd w:id="150"/>
    <w:bookmarkStart w:name="z15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Объем активов клиентов, находящихся (находившихся) в управлении потенциального внешнего управляющего за последние 5 (пять) лет, в том числе:</w:t>
      </w:r>
    </w:p>
    <w:bookmarkEnd w:id="151"/>
    <w:bookmarkStart w:name="z15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объем общих активов, находящихся (находившихся) в управлении;</w:t>
      </w:r>
    </w:p>
    <w:bookmarkEnd w:id="152"/>
    <w:bookmarkStart w:name="z16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объем активов по рассматриваемому типу мандата; </w:t>
      </w:r>
    </w:p>
    <w:bookmarkEnd w:id="153"/>
    <w:bookmarkStart w:name="z16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объем активов институциональных клиентов (включая активы центральных банков);</w:t>
      </w:r>
    </w:p>
    <w:bookmarkEnd w:id="154"/>
    <w:bookmarkStart w:name="z16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объем активов по сегрегированным счетам.</w:t>
      </w:r>
    </w:p>
    <w:bookmarkEnd w:id="155"/>
    <w:bookmarkStart w:name="z16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Информация о портфельных менеджерах и менеджерах по связям с клиентами, которые будут ответственными за активы, переданные во внешнее управление.</w:t>
      </w:r>
    </w:p>
    <w:bookmarkEnd w:id="156"/>
    <w:bookmarkStart w:name="z16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Информация о передвижении персонала за последние 10 (десять) лет среди сотрудников инвестиционного блока потенциального внешнего управляющего (портфельные менеджеры, аналитики и трейдеры).</w:t>
      </w:r>
    </w:p>
    <w:bookmarkEnd w:id="157"/>
    <w:bookmarkStart w:name="z16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Подробное описание инвестиционного процесса, методов управления портфелем, исследования рынка, используемых источников информаций и модели оценки финансовых инструментов.</w:t>
      </w:r>
    </w:p>
    <w:bookmarkEnd w:id="158"/>
    <w:bookmarkStart w:name="z16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Каким образом осуществляется моделирование, мониторинг и управление активным рыночным риском (в случае, если рассматриваемый тип мандата относится к активному управлению).</w:t>
      </w:r>
    </w:p>
    <w:bookmarkEnd w:id="159"/>
    <w:bookmarkStart w:name="z16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Наличие специализированного программного обеспечения по мониторингу и управлению рисками.</w:t>
      </w:r>
    </w:p>
    <w:bookmarkEnd w:id="160"/>
    <w:bookmarkStart w:name="z16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Исторические результаты управления портфелем по аналогичному мандату за последние 5 (пять) лет с аналогичным или близким по типу эталонным портфелем.</w:t>
      </w:r>
    </w:p>
    <w:bookmarkEnd w:id="161"/>
    <w:bookmarkStart w:name="z16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Описание программного обеспечения, используемого для расчета доходности, риска, применяемого в финансовой и аналитической отчетности.</w:t>
      </w:r>
    </w:p>
    <w:bookmarkEnd w:id="162"/>
    <w:bookmarkStart w:name="z17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Краткое описание внутреннего корпоративного управления.</w:t>
      </w:r>
    </w:p>
    <w:bookmarkEnd w:id="163"/>
    <w:bookmarkStart w:name="z17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Ответственность внешнего управляющего перед Национальным Банком в случае нарушения условий соглашения о передаче активов Фонда во внешнее управление.</w:t>
      </w:r>
    </w:p>
    <w:bookmarkEnd w:id="164"/>
    <w:bookmarkStart w:name="z17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Информацию о видах страхования используемых для защиты клиента от ошибок внешнего управляющего.</w:t>
      </w:r>
    </w:p>
    <w:bookmarkEnd w:id="165"/>
    <w:bookmarkStart w:name="z17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Условия организации обучения.</w:t>
      </w:r>
    </w:p>
    <w:bookmarkEnd w:id="166"/>
    <w:bookmarkStart w:name="z17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Информация о предполагаемом уровне комиссионного вознаграждения за внешнее управление.</w:t>
      </w:r>
    </w:p>
    <w:bookmarkEnd w:id="167"/>
    <w:bookmarkStart w:name="z17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Аудированный финансовый отчет потенциального внешнего управляющего за последний финансовый год.</w:t>
      </w:r>
    </w:p>
    <w:bookmarkEnd w:id="168"/>
    <w:bookmarkStart w:name="z17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Внутренние политики и процедуры внешнего управляющего, регламентирующие вопросы снижения риска злоупотреблений и конфликта интересов, в том числе обеспечение равноправного и справедливого распределения сделок среди портфелей клиентов, проверка списка и процедуры утверждения брокеров, агентов и контрпартнеров внешнего управляющего.</w:t>
      </w:r>
    </w:p>
    <w:bookmarkEnd w:id="16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выбора внешних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управляющих активами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78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Оценочные критерии для осуществления сравнительного анализа предложений потенциальных внешних управляющих</w:t>
      </w:r>
    </w:p>
    <w:bookmarkEnd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постановления Правления Национального Банка РК от 21.12.2020 </w:t>
      </w:r>
      <w:r>
        <w:rPr>
          <w:rFonts w:ascii="Times New Roman"/>
          <w:b w:val="false"/>
          <w:i w:val="false"/>
          <w:color w:val="ff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Оценочные критерии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Балл, присваиваемый критериям (значимость показателя определена в процентах)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Глобальный мандат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Специализированный мандат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Региональный мандат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Исторические результаты управления портфелем (при осуществлении сравнительного анализа предложений потенциальных внешних управляющих, специализирующихся на региональных мандатах и участвующих в выборе управляющего по глобальному мандату, показатели нормируются в зависимости от охвата соответствующего мандата)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годовая геометрическая сверхдоходность за последние 3 (три) – 5 (пять) лет (в случае если показатель сверхдоходности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арифметический показатель информационного коэффициента за последние 3 (три) – 5 (пять) лет (в случае если показатель информационного коэффициента за период менее 5 (пять) лет положительный, показатель нормируется относительно периода в 5 (пять) лет)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сотрудников в структуре капитала организации (employee owned)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среднегодовое изменение (в процентах) активов под управлением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(оттоки и притоки за последние 3 (три) – 5 (пять) лет или с начала управления)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 объема активов по данному рассматриваемому мандату к общим активам под управлением (при осуществлении сравнительного анализа предложений потенциальных внешних управляющих, специализирующихся на региональных мандатах и участвующих в выборе управляющего по глобальному мандату, используется объем активов по региональным мандатам. Данное значение нормируется в зависимости от охвата соответствующего мандата)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объема активов институциональных инвесторов к общим активам под управлением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опыт работы портфельных менеджеров и аналитиков, ответственных за управление активами по соответствующему мандату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передвижение персонала среди сотрудников инвестиционного блока (портфельные менеджеры, аналитики, трейдеры) в целом по компании (учитывается наименьшее значение)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вида страхования интересов клиентов от действий или бездействий внешнего управляющего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комиссионного вознаграждения за 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базового комиссионного вознаграждения (учитывается наименьшее значение)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принципа выплаты комиссионного вознаграждения по результатам внешнего управления в случае достижения положительной сверхдоходности, превышающей аналогичные показатели за прошлые периоды со дня начала управления внешним управляющим (net new high basis since inception)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условия по минимальному порогу сверхдоходности, с которого начинается расчет комиссионного вознаграждения по результатам внешнего управления, не ниже базового комиссионного вознаграждения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установления условия оплаты комиссионного вознаграждения по результатам внешнего управления в течение нескольких лет по частям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Обучение работников Национального Банка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краткосрочное обучение продолжительностью в 1 (одну) – 2 (две) недели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возможности прохождения стажировки и (или) секондмента продолжительностью от 1 (одного) месяца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письма-обязательства о создании юридического лица на территории Международного финансового центра "Астана" или аккредитации в качестве участника Международного финансового центра "Астана" согласно действующему праву Международного финансового центра "Астана" с целью осуществления соответствующей финансовой деятельности, либо предоставление письма-подтверждения об осуществлении финансовой деятельности потенциальным внешним управляющим в качестве участника Международного финансового центра "Астана"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баллов</w:t>
            </w:r>
          </w:p>
        </w:tc>
      </w:tr>
    </w:tbl>
    <w:bookmarkStart w:name="z212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71"/>
    <w:bookmarkStart w:name="z213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Оценкой предложения потенциального внешнего управляющего служит сумма баллов по всем оценочным критериям в соответствии с их значимостью.</w:t>
      </w:r>
    </w:p>
    <w:bookmarkEnd w:id="172"/>
    <w:bookmarkStart w:name="z214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Для расчета баллов каждый показатель подлежит нормированию относительно наилучшего показателя в рассматриваемом критерии по всем потенциальным внешним управляющим. </w:t>
      </w:r>
    </w:p>
    <w:bookmarkEnd w:id="173"/>
    <w:bookmarkStart w:name="z215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нормированный показатель потенциального внешнего управляющего – это отношение показателя внешнего управляющего к максимальному значению показателя по рассматриваемому критерию.</w:t>
      </w:r>
    </w:p>
    <w:bookmarkEnd w:id="174"/>
    <w:bookmarkStart w:name="z216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Если внешний управляющий управляет активами по объявленному мандату в рамках другого мандата, то осуществляется оценка исторических результатов управления данными активами в рамках другого мандата.</w:t>
      </w:r>
    </w:p>
    <w:bookmarkEnd w:id="175"/>
    <w:bookmarkStart w:name="z217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оценке обучения работников Национального Банка используется следующая система показателей:</w:t>
      </w:r>
    </w:p>
    <w:bookmarkEnd w:id="1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 (условия обучения работников)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Балл, присваиваемый показателю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управляющий оплачивает перелет, проживание, питание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управляющий оплачивает проживание, питание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Внешний управляющий оплачивает проживание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0.2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внешних управляющих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активами Национального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87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Оценочные критерии для осуществления сравнительного анализа предложений потенциальных внешних управляющих из короткого списка в рамках инвестиционного и операционного дью-дилидженса</w:t>
      </w:r>
    </w:p>
    <w:bookmarkEnd w:id="177"/>
    <w:bookmarkStart w:name="z188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1. Количественный анализ </w:t>
      </w:r>
    </w:p>
    <w:bookmarkEnd w:id="1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Оценочные критерии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Баллы, присваиваемые критериям (значимость показателей определены в процентах)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Активное 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Усовершенствованное индексное управление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Пассивное (индексное) управление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исторической доходности с учетом риска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годовая геометрическая сверхдоходность за последние 3 (три) – 5 (пять) лет (в случае если показатель сверхдоходности за период менее 5 (пяти) лет положительный, показатель нормируется относительно периода в 5 (пять) лет) </w:t>
            </w:r>
          </w:p>
          <w:bookmarkEnd w:id="179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30 процентов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арифметический показатель информационного коэффициента за последние 3 (три) – 5 (пять) лет (в случае если показатель сверхдоходности за период менее 5 (пяти) лет положительный, показатель нормируется относительно периода в 5 (пять) лет)</w:t>
            </w:r>
          </w:p>
          <w:bookmarkEnd w:id="180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Шарпа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Сортино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оценки на стабильность исторических результатов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изменчивости отклонения доходности (tracking error)</w:t>
            </w:r>
          </w:p>
          <w:bookmarkEnd w:id="181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превышения эталона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Коэффициент эксцесса (kurtosis)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Размах показателя сверхдоходности (абсолютный)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Длительность превышения результатов портфеля против эталона (в месяцах)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Показатели риска снижения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баллов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баллов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Изменчивость отклонения доходности (tracking error) ниже минимального порогового значения</w:t>
            </w:r>
          </w:p>
          <w:bookmarkEnd w:id="182"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Средний убыток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Длительность неудовлетворительных результатов портфеля против эталона (в месяцах)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Максимальный убыток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Наибольшее падение стоимости портфеля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Длительность восстановления результатов портфеля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процентов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процентов</w:t>
            </w:r>
          </w:p>
        </w:tc>
      </w:tr>
    </w:tbl>
    <w:bookmarkStart w:name="z193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Таблица 2. Качественный анализ</w:t>
      </w:r>
    </w:p>
    <w:bookmarkEnd w:id="1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Оценочные критерии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 (неудовлетворительно)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1.Инвестиционный процесс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1.1. Формирование инвестиционного портфеля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соответствующих ограничений и лимитов инвестиционной стратегии предлагаемого инвестиционного продукта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аналитических исследований и внедрение инвестиционных идей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результатов управления портфелем на соответствие заявленному стилю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1.2.Процесс принятия решений по покупке или продаже финансовых инструментов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модель принятия решений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понятной и последовательной дисциплины при продаже финансовых инструментов, а также процедур по установлению ограничений убытков (stop-loss)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2.Внутренние процедуры контроля и мониторинга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2.1. Процесс управления рисками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 порядок или регламент работы внешнего управляющего по управлению рисками портфеля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программного обеспечения по управлению и мониторингу рисками портфеля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2.2.Процесс осуществления торговых сделок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наличие политики наилучшего исполнения сделок (Best Execution Policy), включая процедуру выбора и утверждения контрпартнеров и торговых площадок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процедур комплаенса и осуществления сверки данных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расчетов по сделке с ценными бумагами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94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184"/>
    <w:bookmarkStart w:name="z195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Оценкой предложения потенциального внешнего управляющего из короткого списка служит сумма баллов по всем критериям, приведенным в таблице 1 в соответствии с их значимостью.</w:t>
      </w:r>
    </w:p>
    <w:bookmarkEnd w:id="185"/>
    <w:bookmarkStart w:name="z196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целей расчета баллов каждый показатель подлежит нормированию относительно наилучшего показателя в рассматриваемом критерии по всем потенциальным внешним управляющим из короткого списка. При этом нормированный показатель – это отношение показателя внешнего управляющего из короткого списка к максимальному значению показателя по рассматриваемому критерию.</w:t>
      </w:r>
    </w:p>
    <w:bookmarkEnd w:id="186"/>
    <w:bookmarkStart w:name="z197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При оценке инвестиционного процесса и внутренних процедур контроля и мониторинга потенциального внешнего управляющего в рамках качественного анализа, критерии которого приведены в таблице 2, используется следующая система показателей:</w:t>
      </w:r>
    </w:p>
    <w:bookmarkEnd w:id="1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Показатель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Балл, присваиваемый показателю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 – процесс и (или) процедуры потенциального внешнего управляющего соответствуют заявленному статусу, понятны и могут быть легко интерпретированы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Неудовлетворительно – процесс и (или) процедуры потенциального внешнего управляющего не соответствуют заявленному статусу, приемлемы, однако имеются проблемы в части реализации решений внутри компании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внешних управляющих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активами Национального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199" w:id="1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Методика оценки эффективности работы внешнего управляющего</w:t>
      </w:r>
    </w:p>
    <w:bookmarkEnd w:id="188"/>
    <w:bookmarkStart w:name="z200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Оценка эффективности работы внешнего управляющего осуществляется путем присвоения баллов внешнему управляющему в соответствии с количественными и качественными показателями, предусмотренными настоящей Методикой.</w:t>
      </w:r>
    </w:p>
    <w:bookmarkEnd w:id="189"/>
    <w:bookmarkStart w:name="z201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Количественные показатели:</w:t>
      </w:r>
    </w:p>
    <w:bookmarkEnd w:id="190"/>
    <w:bookmarkStart w:name="z202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информационный коэффициент (Information ratio)</w:t>
      </w:r>
    </w:p>
    <w:bookmarkEnd w:id="1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Информационный коэффициент (Information ratio)</w:t>
            </w:r>
          </w:p>
          <w:bookmarkEnd w:id="192"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Присвоенный балл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балла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0,5 - 1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балла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0 - 0,5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балл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баллов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0,5- 0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1 балл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1 - (-) 0,5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2 балла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&lt;(-) 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3 балла</w:t>
            </w:r>
          </w:p>
        </w:tc>
      </w:tr>
    </w:tbl>
    <w:bookmarkStart w:name="z204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Качественные показатели:</w:t>
      </w:r>
    </w:p>
    <w:bookmarkEnd w:id="193"/>
    <w:bookmarkStart w:name="z205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передвижение персонала (Staff turnover) </w:t>
      </w:r>
    </w:p>
    <w:bookmarkEnd w:id="1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Передвижения персонала (Staff turnover) в процентах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Присвоенный балл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&gt; 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0,5 балла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5 - 30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(-) 0,25 балла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0 - 5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баллов</w:t>
            </w:r>
          </w:p>
        </w:tc>
      </w:tr>
    </w:tbl>
    <w:bookmarkStart w:name="z206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операционный риск (Operational risk).</w:t>
      </w:r>
    </w:p>
    <w:bookmarkEnd w:id="195"/>
    <w:bookmarkStart w:name="z207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каждый факт нарушения ограничений, предусмотренных инвестиционной стратегией внешнего управляющего, вследствие операционной ошибки из оценки отнимается 0,2 (ноль целых два десятых) балла;</w:t>
      </w:r>
    </w:p>
    <w:bookmarkEnd w:id="196"/>
    <w:bookmarkStart w:name="z20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соблюдение деловой этики (compliance with a Code of Business Ethics).</w:t>
      </w:r>
    </w:p>
    <w:bookmarkEnd w:id="197"/>
    <w:bookmarkStart w:name="z209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каждый факт нарушения внешним управляющим деловой этики из оценки отнимается 0,5 (ноль целых пять десятых) балла.</w:t>
      </w:r>
    </w:p>
    <w:bookmarkEnd w:id="198"/>
    <w:bookmarkStart w:name="z210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систематическом несвоевременном исполнении поручений клиента из оценки отнимается 0,5 (ноль целых пять десятых) балла.</w:t>
      </w:r>
    </w:p>
    <w:bookmarkEnd w:id="199"/>
    <w:bookmarkStart w:name="z21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Итоговая оценка эффективности рассчитывается как сумма баллов по количественным и качественным показателям.</w:t>
      </w:r>
    </w:p>
    <w:bookmarkEnd w:id="20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