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a29d" w14:textId="305a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26 марта 2020 года № 320. Зарегистрирован в Министерстве юстиции Республики Казахстан 31 марта 2020 года № 20211.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Порядок составления и ведения сводного плана финансирования по обязательствам, сводного плана поступлений и финансирования по платежам";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исключить;</w:t>
      </w:r>
    </w:p>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"Глава 3. Исполнение бюджета";</w:t>
      </w:r>
    </w:p>
    <w:bookmarkEnd w:id="8"/>
    <w:bookmarkStart w:name="z14"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"Глава 4. Порядок открытия, ведения и закрытия контрольных счетов наличности и счетов государственных учреждений";</w:t>
      </w:r>
    </w:p>
    <w:bookmarkEnd w:id="10"/>
    <w:bookmarkStart w:name="z16"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"Глава 5. Исполнение бюджета по поступлениям в национальной валюте";</w:t>
      </w:r>
    </w:p>
    <w:bookmarkEnd w:id="12"/>
    <w:bookmarkStart w:name="z18"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3"/>
    <w:bookmarkStart w:name="z19" w:id="14"/>
    <w:p>
      <w:pPr>
        <w:spacing w:after="0"/>
        <w:ind w:left="0"/>
        <w:jc w:val="both"/>
      </w:pPr>
      <w:r>
        <w:rPr>
          <w:rFonts w:ascii="Times New Roman"/>
          <w:b w:val="false"/>
          <w:i w:val="false"/>
          <w:color w:val="000000"/>
          <w:sz w:val="28"/>
        </w:rPr>
        <w:t>
      "Глава 6. Исполнение бюджета по расходам";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"187.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p>
    <w:bookmarkEnd w:id="15"/>
    <w:bookmarkStart w:name="z22" w:id="16"/>
    <w:p>
      <w:pPr>
        <w:spacing w:after="0"/>
        <w:ind w:left="0"/>
        <w:jc w:val="both"/>
      </w:pPr>
      <w:r>
        <w:rPr>
          <w:rFonts w:ascii="Times New Roman"/>
          <w:b w:val="false"/>
          <w:i w:val="false"/>
          <w:color w:val="000000"/>
          <w:sz w:val="28"/>
        </w:rPr>
        <w:t>
      В случае расторжения договора по решению суда государственное учреждение представляет на бумажном носителе либо посредством системы электронного документооборота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ИС "Судебный кабинет", заверенную подписью руководителя и печатью государственного учреждения.</w:t>
      </w:r>
    </w:p>
    <w:bookmarkEnd w:id="16"/>
    <w:bookmarkStart w:name="z23" w:id="17"/>
    <w:p>
      <w:pPr>
        <w:spacing w:after="0"/>
        <w:ind w:left="0"/>
        <w:jc w:val="both"/>
      </w:pP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носителе либо посредством системы электронного документооборота вместе с письмом копию документа, подтверждающий расторжение договора (в письме обязательно указание номера, даты, суммы и остатка суммы уведомления о регистрации договора), либо копию письмо-уведомление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17"/>
    <w:bookmarkStart w:name="z24" w:id="18"/>
    <w:p>
      <w:pPr>
        <w:spacing w:after="0"/>
        <w:ind w:left="0"/>
        <w:jc w:val="both"/>
      </w:pP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18"/>
    <w:bookmarkStart w:name="z25" w:id="19"/>
    <w:p>
      <w:pPr>
        <w:spacing w:after="0"/>
        <w:ind w:left="0"/>
        <w:jc w:val="both"/>
      </w:pPr>
      <w:r>
        <w:rPr>
          <w:rFonts w:ascii="Times New Roman"/>
          <w:b w:val="false"/>
          <w:i w:val="false"/>
          <w:color w:val="000000"/>
          <w:sz w:val="28"/>
        </w:rPr>
        <w:t xml:space="preserve">
      В случаях переноса плановых назначений и кассовых расходов, предусмотренных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19"/>
    <w:bookmarkStart w:name="z26" w:id="20"/>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20"/>
    <w:bookmarkStart w:name="z27" w:id="21"/>
    <w:p>
      <w:pPr>
        <w:spacing w:after="0"/>
        <w:ind w:left="0"/>
        <w:jc w:val="both"/>
      </w:pPr>
      <w:r>
        <w:rPr>
          <w:rFonts w:ascii="Times New Roman"/>
          <w:b w:val="false"/>
          <w:i w:val="false"/>
          <w:color w:val="000000"/>
          <w:sz w:val="28"/>
        </w:rPr>
        <w:t>
      В случае уменьшения суммы договора до суммы кассового расхода заключенное дополнительное соглашение предоставляется посредством системы электронного документооборота вместе с письмом ГУ, (в письме обязательно указание номера, даты, суммы и остатка суммы уведомления о регистрации договора).";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248</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"248.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2"/>
    <w:bookmarkStart w:name="z30" w:id="23"/>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23"/>
    <w:bookmarkStart w:name="z31" w:id="24"/>
    <w:p>
      <w:pPr>
        <w:spacing w:after="0"/>
        <w:ind w:left="0"/>
        <w:jc w:val="both"/>
      </w:pP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24"/>
    <w:bookmarkStart w:name="z32" w:id="25"/>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bookmarkEnd w:id="25"/>
    <w:bookmarkStart w:name="z33" w:id="26"/>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26"/>
    <w:bookmarkStart w:name="z34" w:id="27"/>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социальных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bookmarkEnd w:id="27"/>
    <w:bookmarkStart w:name="z35"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"Глава 7. Порядок обслуживания субъектов квазигосударственного сектора";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378-21</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"378-21. Платежи и (или) переводы денег генподрядчика при казначейском сопровождении и субподрядчика при казначейском сопровождении проводятся в пределах остатков денег, находящихся на счетах ГЗ, путем формирования генподрядчиком при казначейском сопровождении и субподрядчиком при казначейском сопровождении платежного поручения по форме, установленной Постановлением № 208.</w:t>
      </w:r>
    </w:p>
    <w:bookmarkEnd w:id="30"/>
    <w:bookmarkStart w:name="z39" w:id="31"/>
    <w:p>
      <w:pPr>
        <w:spacing w:after="0"/>
        <w:ind w:left="0"/>
        <w:jc w:val="both"/>
      </w:pPr>
      <w:r>
        <w:rPr>
          <w:rFonts w:ascii="Times New Roman"/>
          <w:b w:val="false"/>
          <w:i w:val="false"/>
          <w:color w:val="000000"/>
          <w:sz w:val="28"/>
        </w:rPr>
        <w:t>
      Основанием для формирования платежного поручения, является:</w:t>
      </w:r>
    </w:p>
    <w:bookmarkEnd w:id="31"/>
    <w:bookmarkStart w:name="z40" w:id="32"/>
    <w:p>
      <w:pPr>
        <w:spacing w:after="0"/>
        <w:ind w:left="0"/>
        <w:jc w:val="both"/>
      </w:pPr>
      <w:r>
        <w:rPr>
          <w:rFonts w:ascii="Times New Roman"/>
          <w:b w:val="false"/>
          <w:i w:val="false"/>
          <w:color w:val="000000"/>
          <w:sz w:val="28"/>
        </w:rPr>
        <w:t>
      для генподрядчика при казначейском сопровождении – платежный сертификат инжиниринговой компании, ЭСФ;</w:t>
      </w:r>
    </w:p>
    <w:bookmarkEnd w:id="32"/>
    <w:bookmarkStart w:name="z41" w:id="33"/>
    <w:p>
      <w:pPr>
        <w:spacing w:after="0"/>
        <w:ind w:left="0"/>
        <w:jc w:val="both"/>
      </w:pPr>
      <w:r>
        <w:rPr>
          <w:rFonts w:ascii="Times New Roman"/>
          <w:b w:val="false"/>
          <w:i w:val="false"/>
          <w:color w:val="000000"/>
          <w:sz w:val="28"/>
        </w:rPr>
        <w:t>
      для субподрядчика при казначейском сопровождении – ЭСФ,</w:t>
      </w:r>
    </w:p>
    <w:bookmarkEnd w:id="33"/>
    <w:bookmarkStart w:name="z42" w:id="34"/>
    <w:p>
      <w:pPr>
        <w:spacing w:after="0"/>
        <w:ind w:left="0"/>
        <w:jc w:val="both"/>
      </w:pPr>
      <w:r>
        <w:rPr>
          <w:rFonts w:ascii="Times New Roman"/>
          <w:b w:val="false"/>
          <w:i w:val="false"/>
          <w:color w:val="000000"/>
          <w:sz w:val="28"/>
        </w:rPr>
        <w:t>
      для генподрядчика и субподрядчика при казначейском сопровождении при возмещении текущих затрат, произведенных за счет собственных средств - платежный сертификат инжиниринговой компании.</w:t>
      </w:r>
    </w:p>
    <w:bookmarkEnd w:id="34"/>
    <w:bookmarkStart w:name="z43" w:id="35"/>
    <w:p>
      <w:pPr>
        <w:spacing w:after="0"/>
        <w:ind w:left="0"/>
        <w:jc w:val="both"/>
      </w:pPr>
      <w:r>
        <w:rPr>
          <w:rFonts w:ascii="Times New Roman"/>
          <w:b w:val="false"/>
          <w:i w:val="false"/>
          <w:color w:val="000000"/>
          <w:sz w:val="28"/>
        </w:rPr>
        <w:t>
      Оплата генеральным подрядчиком накладных расходов осуществляется в соответствии с законодательством Республики Казахстан об архитектурной и градостроительной деятельности на основании платежного поручения.</w:t>
      </w:r>
    </w:p>
    <w:bookmarkEnd w:id="35"/>
    <w:bookmarkStart w:name="z44" w:id="36"/>
    <w:p>
      <w:pPr>
        <w:spacing w:after="0"/>
        <w:ind w:left="0"/>
        <w:jc w:val="both"/>
      </w:pPr>
      <w:r>
        <w:rPr>
          <w:rFonts w:ascii="Times New Roman"/>
          <w:b w:val="false"/>
          <w:i w:val="false"/>
          <w:color w:val="000000"/>
          <w:sz w:val="28"/>
        </w:rPr>
        <w:t>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 указанных в настоящем пункте.</w:t>
      </w:r>
    </w:p>
    <w:bookmarkEnd w:id="36"/>
    <w:bookmarkStart w:name="z45" w:id="37"/>
    <w:p>
      <w:pPr>
        <w:spacing w:after="0"/>
        <w:ind w:left="0"/>
        <w:jc w:val="both"/>
      </w:pPr>
      <w:r>
        <w:rPr>
          <w:rFonts w:ascii="Times New Roman"/>
          <w:b w:val="false"/>
          <w:i w:val="false"/>
          <w:color w:val="000000"/>
          <w:sz w:val="28"/>
        </w:rPr>
        <w:t>
      При возмещении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оплата производится на основе платежного сертификата с указанием произведенных затрат, подлежащих возмещению.</w:t>
      </w:r>
    </w:p>
    <w:bookmarkEnd w:id="37"/>
    <w:bookmarkStart w:name="z46" w:id="38"/>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допускается только при отсутствии условий авансирования в договоре государственных закупок, заключенном между заказчиком и генеральным подрядчиком.</w:t>
      </w:r>
    </w:p>
    <w:bookmarkEnd w:id="38"/>
    <w:bookmarkStart w:name="z47" w:id="39"/>
    <w:p>
      <w:pPr>
        <w:spacing w:after="0"/>
        <w:ind w:left="0"/>
        <w:jc w:val="both"/>
      </w:pPr>
      <w:r>
        <w:rPr>
          <w:rFonts w:ascii="Times New Roman"/>
          <w:b w:val="false"/>
          <w:i w:val="false"/>
          <w:color w:val="000000"/>
          <w:sz w:val="28"/>
        </w:rPr>
        <w:t>
      Перечисление платежей за приобретение товаров (выполнение работ, оказание услуг) субподрядчикам-конечным получателям денег (производителям товаров, работ, услуг) на счета, открытые в банке второго уровня осуществляется:</w:t>
      </w:r>
    </w:p>
    <w:bookmarkEnd w:id="39"/>
    <w:bookmarkStart w:name="z48" w:id="40"/>
    <w:p>
      <w:pPr>
        <w:spacing w:after="0"/>
        <w:ind w:left="0"/>
        <w:jc w:val="both"/>
      </w:pPr>
      <w:r>
        <w:rPr>
          <w:rFonts w:ascii="Times New Roman"/>
          <w:b w:val="false"/>
          <w:i w:val="false"/>
          <w:color w:val="000000"/>
          <w:sz w:val="28"/>
        </w:rPr>
        <w:t>
      генеральными подрядчиками на основании платежного сертификата и ЭСФ,</w:t>
      </w:r>
    </w:p>
    <w:bookmarkEnd w:id="40"/>
    <w:bookmarkStart w:name="z49" w:id="41"/>
    <w:p>
      <w:pPr>
        <w:spacing w:after="0"/>
        <w:ind w:left="0"/>
        <w:jc w:val="both"/>
      </w:pPr>
      <w:r>
        <w:rPr>
          <w:rFonts w:ascii="Times New Roman"/>
          <w:b w:val="false"/>
          <w:i w:val="false"/>
          <w:color w:val="000000"/>
          <w:sz w:val="28"/>
        </w:rPr>
        <w:t>
      субподрядчиками на основании ЭСФ.</w:t>
      </w:r>
    </w:p>
    <w:bookmarkEnd w:id="41"/>
    <w:bookmarkStart w:name="z50" w:id="42"/>
    <w:p>
      <w:pPr>
        <w:spacing w:after="0"/>
        <w:ind w:left="0"/>
        <w:jc w:val="both"/>
      </w:pPr>
      <w:r>
        <w:rPr>
          <w:rFonts w:ascii="Times New Roman"/>
          <w:b w:val="false"/>
          <w:i w:val="false"/>
          <w:color w:val="000000"/>
          <w:sz w:val="28"/>
        </w:rPr>
        <w:t>
      Перечисление генеральным подрядчиком авансовой (предварительной) оплаты в размере не более 30 процентов от суммы заключенного договора субподрядчикам на счета государственных закупок и субподрядчикам−конечным получателям денег (производителям товаров, работ, услуг) на счета, открытые в банке второго уровня, осуществляется на основании платежного поручения.</w:t>
      </w:r>
    </w:p>
    <w:bookmarkEnd w:id="42"/>
    <w:bookmarkStart w:name="z51" w:id="43"/>
    <w:p>
      <w:pPr>
        <w:spacing w:after="0"/>
        <w:ind w:left="0"/>
        <w:jc w:val="both"/>
      </w:pPr>
      <w:r>
        <w:rPr>
          <w:rFonts w:ascii="Times New Roman"/>
          <w:b w:val="false"/>
          <w:i w:val="false"/>
          <w:color w:val="000000"/>
          <w:sz w:val="28"/>
        </w:rPr>
        <w:t>
      Перечисление субподрядчиками со счетов государственных закупок авансовой (предварительной) оплаты в размере не более 30 процентов от суммы заключенного договора конечным получателям денег (производителям товаров, работ, услуг) осуществляется на основании платежного поручения.";</w:t>
      </w:r>
    </w:p>
    <w:bookmarkEnd w:id="43"/>
    <w:bookmarkStart w:name="z52" w:id="4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44"/>
    <w:bookmarkStart w:name="z53" w:id="45"/>
    <w:p>
      <w:pPr>
        <w:spacing w:after="0"/>
        <w:ind w:left="0"/>
        <w:jc w:val="both"/>
      </w:pPr>
      <w:r>
        <w:rPr>
          <w:rFonts w:ascii="Times New Roman"/>
          <w:b w:val="false"/>
          <w:i w:val="false"/>
          <w:color w:val="000000"/>
          <w:sz w:val="28"/>
        </w:rPr>
        <w:t>
      "Глава 8. Порядок управления бюджетными деньгами";</w:t>
      </w:r>
    </w:p>
    <w:bookmarkEnd w:id="45"/>
    <w:bookmarkStart w:name="z54"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46"/>
    <w:bookmarkStart w:name="z55" w:id="47"/>
    <w:p>
      <w:pPr>
        <w:spacing w:after="0"/>
        <w:ind w:left="0"/>
        <w:jc w:val="both"/>
      </w:pPr>
      <w:r>
        <w:rPr>
          <w:rFonts w:ascii="Times New Roman"/>
          <w:b w:val="false"/>
          <w:i w:val="false"/>
          <w:color w:val="000000"/>
          <w:sz w:val="28"/>
        </w:rPr>
        <w:t>
      "Глава 9.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47"/>
    <w:bookmarkStart w:name="z56"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48"/>
    <w:bookmarkStart w:name="z57" w:id="49"/>
    <w:p>
      <w:pPr>
        <w:spacing w:after="0"/>
        <w:ind w:left="0"/>
        <w:jc w:val="both"/>
      </w:pPr>
      <w:r>
        <w:rPr>
          <w:rFonts w:ascii="Times New Roman"/>
          <w:b w:val="false"/>
          <w:i w:val="false"/>
          <w:color w:val="000000"/>
          <w:sz w:val="28"/>
        </w:rPr>
        <w:t>
      "Глава 11. Порядок бюджетного кредитования";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627-1</w:t>
      </w:r>
      <w:r>
        <w:rPr>
          <w:rFonts w:ascii="Times New Roman"/>
          <w:b w:val="false"/>
          <w:i w:val="false"/>
          <w:color w:val="000000"/>
          <w:sz w:val="28"/>
        </w:rPr>
        <w:t xml:space="preserve"> изложить в следующей редакции:</w:t>
      </w:r>
    </w:p>
    <w:bookmarkStart w:name="z59" w:id="50"/>
    <w:p>
      <w:pPr>
        <w:spacing w:after="0"/>
        <w:ind w:left="0"/>
        <w:jc w:val="both"/>
      </w:pPr>
      <w:r>
        <w:rPr>
          <w:rFonts w:ascii="Times New Roman"/>
          <w:b w:val="false"/>
          <w:i w:val="false"/>
          <w:color w:val="000000"/>
          <w:sz w:val="28"/>
        </w:rPr>
        <w:t>
      "627-1.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50"/>
    <w:bookmarkStart w:name="z60"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51"/>
    <w:bookmarkStart w:name="z61" w:id="52"/>
    <w:p>
      <w:pPr>
        <w:spacing w:after="0"/>
        <w:ind w:left="0"/>
        <w:jc w:val="both"/>
      </w:pPr>
      <w:r>
        <w:rPr>
          <w:rFonts w:ascii="Times New Roman"/>
          <w:b w:val="false"/>
          <w:i w:val="false"/>
          <w:color w:val="000000"/>
          <w:sz w:val="28"/>
        </w:rPr>
        <w:t>
      "Глава 12. Государственные и гарантированные государством</w:t>
      </w:r>
    </w:p>
    <w:bookmarkEnd w:id="52"/>
    <w:bookmarkStart w:name="z62" w:id="53"/>
    <w:p>
      <w:pPr>
        <w:spacing w:after="0"/>
        <w:ind w:left="0"/>
        <w:jc w:val="both"/>
      </w:pPr>
      <w:r>
        <w:rPr>
          <w:rFonts w:ascii="Times New Roman"/>
          <w:b w:val="false"/>
          <w:i w:val="false"/>
          <w:color w:val="000000"/>
          <w:sz w:val="28"/>
        </w:rPr>
        <w:t>
      займы и займы, привлекаемые под поручительства государства";</w:t>
      </w:r>
    </w:p>
    <w:bookmarkEnd w:id="53"/>
    <w:bookmarkStart w:name="z63" w:id="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54"/>
    <w:bookmarkStart w:name="z64" w:id="55"/>
    <w:p>
      <w:pPr>
        <w:spacing w:after="0"/>
        <w:ind w:left="0"/>
        <w:jc w:val="both"/>
      </w:pPr>
      <w:r>
        <w:rPr>
          <w:rFonts w:ascii="Times New Roman"/>
          <w:b w:val="false"/>
          <w:i w:val="false"/>
          <w:color w:val="000000"/>
          <w:sz w:val="28"/>
        </w:rPr>
        <w:t>
      "Глава 13. Регистрация и мониторинг государственных обязательств по проектам государственно-частного партнерства, в том числе государственных концессионных обязательств, и регистрация договоров по проектам государственно-частного партнерства без государственных обязательств";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878</w:t>
      </w:r>
      <w:r>
        <w:rPr>
          <w:rFonts w:ascii="Times New Roman"/>
          <w:b w:val="false"/>
          <w:i w:val="false"/>
          <w:color w:val="000000"/>
          <w:sz w:val="28"/>
        </w:rPr>
        <w:t xml:space="preserve"> изложить в следующей редакции:</w:t>
      </w:r>
    </w:p>
    <w:bookmarkStart w:name="z66" w:id="56"/>
    <w:p>
      <w:pPr>
        <w:spacing w:after="0"/>
        <w:ind w:left="0"/>
        <w:jc w:val="both"/>
      </w:pPr>
      <w:r>
        <w:rPr>
          <w:rFonts w:ascii="Times New Roman"/>
          <w:b w:val="false"/>
          <w:i w:val="false"/>
          <w:color w:val="000000"/>
          <w:sz w:val="28"/>
        </w:rPr>
        <w:t>
      "878. Регистрация договоров ГЧП, в том числе концессии, Правительства Республики Казахстан и местных исполнительных органов, а также дополнительные соглашения к ним, осуществляются центральным уполномоченным органом по исполнению бюджета или его территориальным подразделением.</w:t>
      </w:r>
    </w:p>
    <w:bookmarkEnd w:id="56"/>
    <w:bookmarkStart w:name="z67" w:id="57"/>
    <w:p>
      <w:pPr>
        <w:spacing w:after="0"/>
        <w:ind w:left="0"/>
        <w:jc w:val="both"/>
      </w:pPr>
      <w:r>
        <w:rPr>
          <w:rFonts w:ascii="Times New Roman"/>
          <w:b w:val="false"/>
          <w:i w:val="false"/>
          <w:color w:val="000000"/>
          <w:sz w:val="28"/>
        </w:rPr>
        <w:t>
      Дополнительные соглашения к договорам ГЧП, в том числе концессии, зарегистрированным центральным уполномоченным органом по исполнению бюджета или его территориальным подразделением,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57"/>
    <w:bookmarkStart w:name="z68" w:id="58"/>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ГЧП (в том числе при изменении графиков платежей);</w:t>
      </w:r>
    </w:p>
    <w:bookmarkEnd w:id="58"/>
    <w:bookmarkStart w:name="z69" w:id="59"/>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59"/>
    <w:bookmarkStart w:name="z70" w:id="60"/>
    <w:p>
      <w:pPr>
        <w:spacing w:after="0"/>
        <w:ind w:left="0"/>
        <w:jc w:val="both"/>
      </w:pPr>
      <w:r>
        <w:rPr>
          <w:rFonts w:ascii="Times New Roman"/>
          <w:b w:val="false"/>
          <w:i w:val="false"/>
          <w:color w:val="000000"/>
          <w:sz w:val="28"/>
        </w:rPr>
        <w:t xml:space="preserve">
      Не допускается изменения размера государственных обязательств, предусмотренного договором ГЧП без рассмотрения соответствующей бюджетной комиссии. </w:t>
      </w:r>
    </w:p>
    <w:bookmarkEnd w:id="60"/>
    <w:bookmarkStart w:name="z71" w:id="61"/>
    <w:p>
      <w:pPr>
        <w:spacing w:after="0"/>
        <w:ind w:left="0"/>
        <w:jc w:val="both"/>
      </w:pPr>
      <w:r>
        <w:rPr>
          <w:rFonts w:ascii="Times New Roman"/>
          <w:b w:val="false"/>
          <w:i w:val="false"/>
          <w:color w:val="000000"/>
          <w:sz w:val="28"/>
        </w:rPr>
        <w:t xml:space="preserve">
      По соглашению сторон договора ГЧП срок его действия может быть продлен в пределах срока, установленного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31 октября 2015 года "О государственно-частном партнерстве".</w:t>
      </w:r>
    </w:p>
    <w:bookmarkEnd w:id="61"/>
    <w:bookmarkStart w:name="z72" w:id="62"/>
    <w:p>
      <w:pPr>
        <w:spacing w:after="0"/>
        <w:ind w:left="0"/>
        <w:jc w:val="both"/>
      </w:pPr>
      <w:r>
        <w:rPr>
          <w:rFonts w:ascii="Times New Roman"/>
          <w:b w:val="false"/>
          <w:i w:val="false"/>
          <w:color w:val="000000"/>
          <w:sz w:val="28"/>
        </w:rPr>
        <w:t>
      Срок действия договора ГЧП может быть продлен по решению суда в порядке, определенном договором ГЧП, в случаях, установленных законодательством о государственно-частном партнерстве.</w:t>
      </w:r>
    </w:p>
    <w:bookmarkEnd w:id="62"/>
    <w:bookmarkStart w:name="z73" w:id="63"/>
    <w:p>
      <w:pPr>
        <w:spacing w:after="0"/>
        <w:ind w:left="0"/>
        <w:jc w:val="both"/>
      </w:pPr>
      <w:r>
        <w:rPr>
          <w:rFonts w:ascii="Times New Roman"/>
          <w:b w:val="false"/>
          <w:i w:val="false"/>
          <w:color w:val="000000"/>
          <w:sz w:val="28"/>
        </w:rPr>
        <w:t>
      Договор ГЧП может быть изменен и расторгнут по соглашению сторон договора ГЧП.</w:t>
      </w:r>
    </w:p>
    <w:bookmarkEnd w:id="63"/>
    <w:bookmarkStart w:name="z74" w:id="64"/>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ГЧП может быть расторгнут по решению суда.</w:t>
      </w:r>
    </w:p>
    <w:bookmarkEnd w:id="64"/>
    <w:bookmarkStart w:name="z75" w:id="65"/>
    <w:p>
      <w:pPr>
        <w:spacing w:after="0"/>
        <w:ind w:left="0"/>
        <w:jc w:val="both"/>
      </w:pPr>
      <w:r>
        <w:rPr>
          <w:rFonts w:ascii="Times New Roman"/>
          <w:b w:val="false"/>
          <w:i w:val="false"/>
          <w:color w:val="000000"/>
          <w:sz w:val="28"/>
        </w:rPr>
        <w:t>
      Договора ГЧП, в том числе концессии, действительны при наличии свидетельства о регистрации.</w:t>
      </w:r>
    </w:p>
    <w:bookmarkEnd w:id="65"/>
    <w:bookmarkStart w:name="z76" w:id="66"/>
    <w:p>
      <w:pPr>
        <w:spacing w:after="0"/>
        <w:ind w:left="0"/>
        <w:jc w:val="both"/>
      </w:pPr>
      <w:r>
        <w:rPr>
          <w:rFonts w:ascii="Times New Roman"/>
          <w:b w:val="false"/>
          <w:i w:val="false"/>
          <w:color w:val="000000"/>
          <w:sz w:val="28"/>
        </w:rPr>
        <w:t>
      При этом, предполагаемые платежи, установленные договором ГЧП, в том числе концессии предусматриваются исходя из признака среднесрочного или долгосрочного срока реализации проекта ГЧП (от трех до тридцати лет в зависимости от особенностей проекта ГЧП).</w:t>
      </w:r>
    </w:p>
    <w:bookmarkEnd w:id="66"/>
    <w:bookmarkStart w:name="z77" w:id="67"/>
    <w:p>
      <w:pPr>
        <w:spacing w:after="0"/>
        <w:ind w:left="0"/>
        <w:jc w:val="both"/>
      </w:pPr>
      <w:r>
        <w:rPr>
          <w:rFonts w:ascii="Times New Roman"/>
          <w:b w:val="false"/>
          <w:i w:val="false"/>
          <w:color w:val="000000"/>
          <w:sz w:val="28"/>
        </w:rPr>
        <w:t xml:space="preserve">
      Проект ГЧП считается завершенным после выполнения сторонами договора ГЧП всех взятых на себя обязательств. </w:t>
      </w:r>
    </w:p>
    <w:bookmarkEnd w:id="67"/>
    <w:bookmarkStart w:name="z78" w:id="68"/>
    <w:p>
      <w:pPr>
        <w:spacing w:after="0"/>
        <w:ind w:left="0"/>
        <w:jc w:val="both"/>
      </w:pPr>
      <w:r>
        <w:rPr>
          <w:rFonts w:ascii="Times New Roman"/>
          <w:b w:val="false"/>
          <w:i w:val="false"/>
          <w:color w:val="000000"/>
          <w:sz w:val="28"/>
        </w:rPr>
        <w:t>
      Договор концессии прекращает свое действие по истечению срока и полного выполнения обязательств концедента и концессионера, принятых в рамках договора.".</w:t>
      </w:r>
    </w:p>
    <w:bookmarkEnd w:id="68"/>
    <w:bookmarkStart w:name="z79" w:id="6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69"/>
    <w:bookmarkStart w:name="z80" w:id="7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0"/>
    <w:bookmarkStart w:name="z81"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1"/>
    <w:bookmarkStart w:name="z82" w:id="7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2"/>
    <w:bookmarkStart w:name="z83" w:id="7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5"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