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1a3" w14:textId="470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февраля 2020 года № 102. Зарегистрирован в Министерстве юстиции Республики Казахстан 10 февраля 2020 года № 20007.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19591, опубликован 19 ноября 2019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по республиканскому бюджету,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на основании прогнозной консолидированной финансовой отчетности администраторов республиканских бюджетных программ,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по структуре бюджета по форме ПД-1РБ согласно приложению 6 к настоящим Правилам (далее – Перечень), информации по правительственному и гарантированному государством долгу, долгу по поручительствам государства по форме ГЗ-РБ согласно приложению 7 к настоящим Правилам (далее – форма ГЗ-РБ), информации по государственным обязательствам по договорам государственно-частного партнерства, в том числе концессии по форме ГЧП-РБ согласно приложению 8 к настоящим Правилам (далее – форма ГЧП-РБ), информации по бюджетным кредитам, предоставленным из республиканского бюджета по форме БК-РБ согласно приложению 9 к настоящим Правилам (далее – форма БК-РБ).";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Ведомство центрального уполномоченного органа по исполнению бюджета,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 (далее – ведомство) представляет таблицы 1.2, 1.3, 1.5, 1.6, 1.7, 1.8, 1.9, 1.10, 1.15, 1.16, 1.19, 1.21, 1.29, и 1.31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заполнением граф "факт" и "оценка", таблицы 1.4, 1.11, 1.12, 1.17, 1.22, 1.23, 1.24, 1.25, 1,26 и 1.27 Перечня с заполнением графы "оценка", информацию по форме ГЧП-РБ к 1 июля текущего финансового года в центральный уполномоченный орган по бюджетному планированию за подписью первого руководителя ведомства и руководителя структурного подразделения ведомства, ответственного за составление показателей, в виде электронного документа посредством использования единой системы электронного документооборота государственных органов (далее – ЕСЭДО).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данных по форме ГЧП-РБ осуществляется ведомством на основе информации от администраторов бюджетных программ. Администраторы бюджетных программ по зарегистрированным в ведомстве договорам государственно-частного партнерства, в том числе концессии, предусматривающим выплату государственных обязательств, представляют информацию по форме ГЧП-РБ к 1 апреля текущего финансового года в ведомство в виде электронного документа посредством использования ЕСЭДО.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представляет формы ГЗ-РБ и БК-РБ к 1 мая текущего финансового года в ведомство и центральный уполномоченный орган по бюджетному планированию в виде электронного документа посредством использования ЕСЭДО.";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Формирование Перечня осуществляется в следующем порядке: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"факт" таблиц 1.1, 1.2, 1.3, 1.5, 1.6, 1.7, 1.8, 1.9, 1.10, 1.15 и 1.16 заполняется на основании данных отчета об исполнении республиканского бюджета за отчетный финансовый год. Графа "факт" таблиц 1.4, 1.11, 1.12, 1.13, 1.14, 1.17, 1.22, 1.23, 1.24, 1.25, 1,26 и 1.27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заполняется. Таблицы 1.3, 1.5, 1.6, 1.7, 1.8, 1.9, 1.10, 1.15 и 1.16 по графе "факт" заполняются для сравнения данных по периодам.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"оценка" таблиц Перечня заполняется на основании данных сводного плана поступлений и финансирования по платежам и/или отчета об исполнении республиканского бюджета текущего периода.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"прогноз" таблиц 1.1, 1.5 и 1.15 заполняется на основании данных прогнозирования поступлений в республиканский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Методики прогнозирования поступлений бюджета" от 21 января 2015 года № 34 (зарегистрирован в Реестре государственной регистрации нормативных правовых актов под № 10322).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"оценка" и "прогноз" таблиц 1.15, 1.17, 1,18, 1.19, 1.20, 1.21, 1.22, 1.23, 1.24, 1.25, 1.26, 1.27, 1.28 и 1.29 включают данные форм ГД-РБ, ГЧП-РБ, БК-РБ;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таблицы 1.3, 1.6, 1.7, 1.8, 1.9, 1.10 и 1.16 заполняются по расходам республиканского бюджета в увязке со спецификами экономической классификации расходов бюджета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приказом Министра финансов Республики Казахстан от 18 сентября 2014 года № 403 (зарегистрирован в Реестре государственной регистрации нормативных правовых актов под № 9756);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таблицы 1.4, 1.11, 1.12, 1.13, 1.14 и 1.17 по движению денежных средств от операционной, инвестиционной и финансовой деятельности заполняются путем переноса данных из таблиц 1.1, 1.2, 1.3, 1.5, 1.6, 1.7, 1.8, 1.9, 1.10, 1.15 и 1.16;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таблицах 1.18 и 1.19 формируются показатели прогнозного консолидированного отчета о движении денежных средств (прямой метод) по республиканскому бюджету;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таблицах 1.20 и 1.21 формируются показатели прогнозного консолидированного отчета о результате финансовой деятельности по республиканскому бюджету;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таблицы 1.22, 1.23, 1.24, 1.25, 1.26 и 1.27 по изменениям в активах и обязательствах заполняются на основании данных таблиц 1.3, 1.5, 1.6, 1.7, 1.8, 1.9, 1.10, 1.15 и 1.16;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таблицах 1.28 и 1.29 формируются показатели прогнозного консолидированного отчета о финансовом положении по республиканскому бюджету;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таблицах 1.30 и 1.31 формируются показатели прогнозного консолидированного отчета об изменениях чистых активов/капитала.";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7, 8 и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 бюджету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ГЗ-РБ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правительственному и гарантированному государством долгу, долгу по поручительствам государства за __________год (факт, оценка, прогноз)*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начало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и прочие корректировки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периода (графа 3 плюс графа 4 минус графа 5 минус графа 6 плюс/минус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за _______год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Правительства Республики Казахстан,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(всего, в том числе по видам государственных ценных бумаг и прочее)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(всего, в том числе по кредиторам)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 долг всего, 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поручительствам государства, всего 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правительственный и гарантированный государством долг, долг по поручительствам государства (строка 1+строка 2+ строка3),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(строка 1.1+строка 2.1+строка 3.1)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(строка 1.2+строка 2.2+строка 3.2)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 курс тенге к доллару США на начало периода ___________, курс тенге к доллару США на конец периода___________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ГЗ-РБ составляется отдельно за отчетный финансовый год (факт), за текущий финансовый год (оценка), за каждый год планируемого периода (прогноз)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 бюджету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ГЧП-РБ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государственным обязательствам по договорам государственно- частного партнерства, в том числе концессии за ___________год (факт, оценка, прогноз)*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государственно-частного партнерства, номер и дата заключения договора и регистрации в казначействе, период выплат (даты и общее количество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 выплаты компенсации инвестиционных затрат по объектам концессии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государственных обязательств по договору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государственных обязательств по компенсации инвестиционных затрат по объектам концессии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непогашенных государственных обязательств на начало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погашение государственных обязательств за _______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непогашенных государственных обязательств на конец периода***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оплаченных государственных обязательств с начала реализации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договорам концессии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(эксплуатационных)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обязательств по договорам концессии,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(эксплуатационных)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договорам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обязательств по прочим договорам государственно-частного партнерства,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составляется ведомством и администраторами бюджетных программ отдельно за отчетный финансовый год (факт), за текущий финансовый год (оценка), за каждый год планируемого периода (прогноз) по зарегистрированным в казначействе договорам государственно-частного партнерства, в том числе концессии.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**Примечание: в прочие выплаты включаются суммы вознаграждений, плата за доступность объекта концессии и прочие платежи, определенные в соответствии с Законом Республики Казахстан от 31 октября 2015 года "О государственно-частном партнерстве" и Законом Республики Казахстан от 7 июля 2006 года "О концессиях", за исключением компенсации инвестиционных и операционных затрат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***Примечание: расчет данных по графе 10: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компенсации инвестиционных затрат по договорам концессии в первый год осуществления выплат в погашение государственных обязательств равны: графа 7 минус графа 9;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компенсации операционных (эксплуатационных) затрат и прочим выплатам по договорам концессии и прочим договорам государственно-частного партнерства в первый год осуществления выплат в погашение государственных обязательств равны: графа 6 минус графа 9;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данные компенсации инвестиционных, операционных (эксплуатационных) затрат и прочим выплатам по договорам концессии и прочим договорам государственно-частного партнерства во второй год и последующие годы осуществления выплат в погашение государственных обязательств равны: графа 8 минус графа 9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 бюджету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БК-РБ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бюджетным кредитам, предоставленным из республиканского бюджета за ___________ год (факт, оценка, прогноз)*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кредита по договору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за ______год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 ______год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к получению за _____год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 организациям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БК-РБ составляется отдельно за отчетный финансовый год (факт), за текущий финансовый год (оценка), за каждый год планируемого периода (прогноз)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