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3bd" w14:textId="3e15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января 2020 года № 3. Зарегистрирован в Министерстве юстиции Республики Казахстан 21 января 2020 года № 19898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12717, опубликован 4 февраля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проекта государственно-частного партнерства к проекту государственно-частного партнерства особой значимости,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реализация проекта ГЧП планируется по объектам (существующим или предполагаемым к строительству), относящимся к республиканской собственности, или коммунальной собственности по строительству линий легкорельсового транспорта расположенного в городе республиканского значения, по строительству и/или эксплуатации аэропортов и/или аэровокзалов с пропускной способностью не менее 400 пассажиров/час и/или получателями экономических выгод от реализации данных проектов ГЧП являются субъекты двух и более областей, городов республиканского значения и столицы;".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