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53bd" w14:textId="3e15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января 2020 года № 3. Зарегистрирован в Министерстве юстиции Республики Казахстан 21 января 2020 года № 19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12717, опубликован 4 февра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роекта государственно-частного партнерства к проекту государственно-частного партнерства особой значим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ализация проекта ГЧП планируется по объектам (существующим или предполагаемым к строительству), относящимся к республиканской собственности, или коммунальной собственности по строительству линий легкорельсового транспорта расположенного в городе республиканского значения, по строительству и/или эксплуатации аэропортов и/или аэровокзалов с пропускной способностью не менее 400 пассажиров/час и/или получателями экономических выгод от реализации данных проектов ГЧП являются субъекты двух и более областей, городов республиканского значения и столиц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