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0a62" w14:textId="8240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для всех налогоплательщиков, осуществляющих деятельность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15 февраля 2019 года № 35-3. Зарегистрировано Департаментом юстиции Западно-Казахстанской области 20 февраля 2019 года № 5543. Утратило силу решением Бурлинского районного маслихата Западно-Казахстанской области от 6 июня 2024 года № 15-6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Бурлинского районного маслихата Западно-Казахстанской области от 06.06.2024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налогах и других обязательных платежах в бюджет" от 25 декабря 2017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единые ставки фиксированного налога для всех налогоплательщиков, осуществляющих деятельность на территории Бурлинского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(Б.Б.Мукашева)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февраля 2019 года № 35-3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Единые ставки фиксированного налога для всех налогоплательщиков, осуществляющих деятельность на территории Бурлинского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объектов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Единые ставки фиксированного налога (в месячных расчетных показателях)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автомат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компьютер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Одна игровая дорожка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игровой 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