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cf0d" w14:textId="342c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подлежащих обязательному страхованию в растениеводстве на 2019 год по городу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26 апреля 2019 года № 950. Зарегистрировано Департаментом юстиции Западно-Казахстанской области 30 апреля 2019 года № 5642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оптимальные сроки начала и завершения посевных работ по видам продукции растениеводства, подлежащих обязательному страхованию в растениеводстве на 2019 год по городу Уральск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сельского хозяйства города Уральска"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сельского хозяйства города Уральска" (Гумаров Ж.А.)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С. Доля.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 № 950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</w:t>
      </w:r>
      <w:r>
        <w:br/>
      </w:r>
      <w:r>
        <w:rPr>
          <w:rFonts w:ascii="Times New Roman"/>
          <w:b/>
          <w:i w:val="false"/>
          <w:color w:val="000000"/>
        </w:rPr>
        <w:t>по видам продукции растениеводства, подлежащих обязательному страхованию в растениеводстве на 2019 год по городу Уральск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1980"/>
        <w:gridCol w:w="3624"/>
        <w:gridCol w:w="3624"/>
      </w:tblGrid>
      <w:tr>
        <w:trPr>
          <w:trHeight w:val="30" w:hRule="atLeast"/>
        </w:trPr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природно-климатическая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наступление весны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Ячмень, овес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масличный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Суданская трава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