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3ebf" w14:textId="4c13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24 августа 2015 года № 227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марта 2019 года № 54. Зарегистрировано Департаментом юстиции Западно-Казахстанской области 6 марта 2019 года № 5558.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 августа 2015 года №227 "Об 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№4053, опубликованное 13 октября 2015 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Западно - Казахстанской области Искалиева Г.Н.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марта 2019 года № 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августа 2015 года № 227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государственным учреждением "Управление сельского хозяйства Западно-Казахстанской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Министра сельского хозяйства Республики Казахстан от 8 июня 2015 года №15-1/522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№11684) (далее - Стандарт).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(полностью автоматизированная).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физическим и юридическим лицам (далее - услугополучатель).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Причитающиеся субсидии перечисляются на счета: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гербициды, биоагенты (энтомофаги) и биопрепараты (далее – СЗР) в текущем году и (или) в 4 (четвертом) квартале предыдущего года у поставщика СЗР;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отечественных производителей СЗР для удешевления стоимости СЗР, реализованных сельхозтоваропроизводителям или сельхозкооперативам в текущем году и в 4 (четвертом) квартале предыдущего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услугополучатель представляет на портал в форме электронного документа, удостоверенного электронной цифровой подписью (далее – ЭЦП), заявку на получение субсидий на приобретенные СЗР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переводную заявку об оплате причитающихся субсидий при приобретении СЗР у отечественного производителя СЗР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(переводной заявки)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 (одного) рабочего дня с момента регистрации заявки (переводной заявки)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 принятии переводной заявки становится доступным в личном кабинете производителя СЗР.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подтверждение заявки (переводной заявки);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формирует платежные поручения на выплату субсидий, загружаемые в информационную систему "Казначейство-Клиент" и направляет услугополучателю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 (двух) рабочих дней: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по переводной заявке производителем СЗР в реестр сведений по фактически реализованным СЗР.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 финансирования агропромышленного комплекса услугодателя осуществляет оплату субсидий.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осуществление оплаты субсидий.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финансирования агропромышленного комплекса услугодателя.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Регламент).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ввода услугополучателем ИИН или БИН и пароля (процесс авторизации) на портале для получения государственной услуги;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ИИН или БИН и пароль;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 – проверка услугодателем заявки (переводной заявки) представленной услугополучателем;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обжалования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Иные требования с учетом особенностей оказания государственной услуги, в том числе оказываемой в электронной форме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