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303" w14:textId="dd17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7 ноября 2019 года № 33/282-VI. Зарегистрировано Департаментом юстиции Восточно-Казахстанской области 3 декабря 2019 года № 6342.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(зарегистрировано в Реестре государственной регистрации нормативных правовых актов за номером 3328, опубликовано в районной газете "Луч" 23 мая 2014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лиц (семей), получивших ущерб вследствие стихийного бедствия предусмотреть размер социальной помощи в пределах 100 месячных расчетных показателей.";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– 15 февраля –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показателей;";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- 31 мая - жертвам политических репрессий, лицам, пострадавшим от политических репрессий - 4,5 месячных расчетных показателей.";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документов, согласно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Заключительное положение" считать разделом "5. Заключительное положение".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