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e761" w14:textId="c97e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42/3-VI "О бюджете города Серебрянска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декабря 2019 года № 59/5-VI. Зарегистрировано Департаментом юстиции Восточно-Казахстанской области 23 декабря 2019 года № 6425. Утратило силу решением маслихата района Алтай Восточно-Казахстанской области от 5 января 2020 года № 61/3-VI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3 декабря 2019 года № 57/2-VI "О внесении изменений в решение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6369),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42/3-VI "О бюджете города Серебрянска на 2019-2021 годы" (зарегистрировано в Реестре государственной регистрации нормативных правовых актов за № 5-12-187,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Серебрянска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121770,1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37259,0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83694,1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127488,0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-5717,9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5717,9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5717,9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2019 год объем целевых текущих трансфертов из областного бюджета в сумме 56011,1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59/5-VI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121770,1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