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e761" w14:textId="c97e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42/3-VI "О бюджете города Серебрянска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декабря 2019 года № 59/5-VI. Зарегистрировано Департаментом юстиции Восточно-Казахстанской области 23 декабря 2019 года № 6425. Утратило силу решением маслихата района Алтай Восточно-Казахстанской области от 5 января 2020 года № 61/3-VI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3 декабря 2019 года № 57/2-VI "О внесении изменений в решение маслихата района Алтай от 21 декабря 2018 года № 41/2-VI "О районном бюджете района Алтай на 2019-2021 годы" (зарегистрировано в Реестре государственной регистрации нормативных правовых актов за № 6369),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42/3-VI "О бюджете города Серебрянска на 2019-2021 годы" (зарегистрировано в Реестре государственной регистрации нормативных правовых актов за № 5-12-187,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Серебрянска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121770,1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37259,0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817,0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83694,1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127488,0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-5717,9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5717,9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5717,9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Серебрянска на 2019 год объем целевых текущих трансфертов из областного бюджета в сумме 56011,1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ГорбачҰва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59/5-VI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Серебрянска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121770,1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