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d96a" w14:textId="e13d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июня 2019 года № 39/261-VI. Зарегистрировано Департаментом юстиции Восточно-Казахстанской области 3 июля 2019 года № 6052. Утратило силу решением Аягозского районного маслихата Восточно-Казахстанской области от 4 сентября 2020 года № 52/440-VI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52/440-VI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3381, опубликовано в информационно-правовой системе "Әділет" 30 июня 2014 года, в газете "Аягөз жаңалықтары" 5 июля 2014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многодетность и/или наличие в семье детей с особыми образовательными потребностями, посещающим дошкольные организации Аягозского района.".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6) и 8)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несовершеннолетние, находящиеся в специальных организациях образования, организациях образования с особым режимом содержания;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дети из многодетных семей и дети с особыми образовательными потребностями, посещающие дошкольные организации.";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третим абзацем следующего содержания: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порог среднедушевого дохода в размере шестикратной величины прожиточного минимума для категории получателей указанной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