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a912" w14:textId="3caa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14 марта 2016 года № 68 "Об утверждении регламента государственной услуги "Cубсидирование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января 2019 года № 11. Зарегистрировано Департаментом юстиции Восточно-Казахстанской области 28 января 2019 года № 5728.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мая 2018 года № 209 "О внесении изменений в некоторые приказы Министра сельского хозяйства Республики Казахстан" (зарегистрированным в Реестре государственной регистрации нормативных правовых актов за номером 17145),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услуг по подаче воды сельскохозяйственным товаропроизводителям" от 14 марта 2016 года № 68 (зарегистрированное в Реестре государственной регистрации нормативных правовых актов за номером 4503, опубликованное в Эталонном контрольном банке нормативных правовых актов Республики Казахстан в электронном виде 4 мая 2016 года, газетах "Дидар" от 6мая 2016 года, "Рудный Алтай" от 7 мая 2016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"Cубсидирование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2019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2016 года № 68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управлением сельского хозяйства местного исполнительного органа области (далее - услугодатель).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утвержденному приказом Министра сельского хозяйства Республики Казахстан от 8 декабря 2015 года № 6-4/1072 (зарегистрированным в Реестре государственной регистрации нормативных правовых актов за номером 12933) (далее - Стандарт).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услугополучателя, либо его представителя (физического лица – по доверенности, удостоверенной нотариально, юридического лица – по документу, подтверждающему полномочия)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заявки в адрес услугодателя через Государственную корпорацию канцелярия услугодателя принимает и регистрирует заявки услугополучателя. Длительность выполнения- 15 (пятнадцать) минут;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 № 6-3/597 (зарегистрированным в Реестре государственной регистрации нормативных правовых актов за номером 12714) (далее - Правила) и формирование ведомости на оплату бюджетных субсидий либо мотивированного отказа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 (три) рабочих дня;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субсидийна банковские счета услугополучателя. Длительность выполнения - 1 (один) рабочий день.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Государственную корпорацию с момента сдачи заявки услугодателю - 4 (четыре) рабочих дня.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зарегистрированная заявка услугополучателя, которая служит основанием для выполнения действия 2. Результатом действия 2, указанного в пункте 5 настоящего Регламента, является сформированная ведомость на оплату бюджетных субсидий, которая служит основанием для выполнения действия 3, либо мотивированный отказ в оказании государственной услуги. Результатом действия 3, указанного в пункте 5 настоящего Регламента, являются предоставленные в территориальное подразделение казначейства платежные документы к оплате.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заявки в адрес услугодателя через Государственную корпорацию канцелярия услугодателя принимает и регистрирует заявки услугополучателя. Длительность выполнения - 15 (пятнадцать) минут;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Правилами и формирование ведомости на оплату бюджетных субсидий либо мотивированного отказа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 (три) рабочих дня;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субсидийна банковские счета услугополучателя. Длительность выполнения - 1 (один) рабочий день.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электронной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приложению 3 к Стандарту.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4 (четыре) рабочих дня. День приема не входит в срок оказания государственной услуги.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- по документу, подтверждающему полномочия).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взаимадействий структурных подразделений (работников) услугодателя в процессе оказания государственной услуги, а также описание порядка взоимодействия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 через Государственную корпорацию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