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36f" w14:textId="61f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15 марта 2019 года № 84. Зарегистрировано Департаментом юстиции Туркестанской области 15 марта 2019 года № 4936. Утратило силу постановлением акимата Келесского района Туркестанской области от 14 августа 2023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14.08.2023 № 157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Келесского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обязанности руководителя аппарата акима района Жолдыбаева С.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русском языке, текст на государственном языке не меняется постановлением акимата Келесского района Туркестанской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2019 года № 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Келесского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Келесского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Келесского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русском языке, текст на государственном языке не меняется постановлением акимата Келесского района Туркестанской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Келесского района Туркестанской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акимата Келесского района Туркестанской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Келесского района Туркестанской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организует работу подразделения, не учитывает приоритеты.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Полагается только на собственный опыт и мнение при принятии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неэффективную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уделяет внимания саморазвитию и не показывает его важность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header.xml" Type="http://schemas.openxmlformats.org/officeDocument/2006/relationships/header" Id="rId20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