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61fa" w14:textId="dcc6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сентября 2019 года № 366. Зарегистрировано Департаментом юстиции Атырауской области 26 сентября 2019 года № 4495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Махамбетского районного маслихата Атырауской области от 07.04.2023 № </w:t>
      </w:r>
      <w:r>
        <w:rPr>
          <w:rFonts w:ascii="Times New Roman"/>
          <w:b w:val="false"/>
          <w:i w:val="false"/>
          <w:color w:val="ff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законности, экономики и бюджета (Б.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43-сессии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Махамбетского районного маслихата Атырауской области от 16.04.2021 № </w:t>
      </w:r>
      <w:r>
        <w:rPr>
          <w:rFonts w:ascii="Times New Roman"/>
          <w:b w:val="false"/>
          <w:i w:val="false"/>
          <w:color w:val="ff0000"/>
          <w:sz w:val="28"/>
        </w:rPr>
        <w:t>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государственным учреждением "Махамбетский районный отдел занятости и социальных программ".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12.03.2024 №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Махамбетского района.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 (пять) месячных расчетных показателя.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07.04.2023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