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cc4" w14:textId="605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Мамлютка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63/2. Зарегистрировано Департаментом юстиции Северо-Казахстанской области 9 января 2020 года № 5801.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Мамлютка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–832946,9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805748,9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835865,9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районного значения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бюджеты города районного значения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города Мамлютка Мамлютского района на 2020 год целевые текущие трансферты выделяемые из областного бюджета на средний ремонт внутрипоселковых дорог города Мамлютка в сумме 75000 тысяч тенге.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5-1.Учесть в бюджете объемы целевых текущих трансфертов передаваемых из областного бюджета в бюджет города Мамлютка Мамлютского района Северо-Казахстанской области на 2020 год, в сумме 674575,9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Направить свободные остатки бюджетных средств, сложившихся на 1 января 2020 года в сумме 2919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Мамлютского района Северо-Казахстанской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субвенцию, передаваемую из районного бюджета в бюджет города районного значения на 2020 год, в сумме 131173 тысяч тенге.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832946,9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835865,9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52790,2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